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AB9C3" w14:textId="007FC713" w:rsidR="00BC38FC" w:rsidRPr="006576A9" w:rsidRDefault="00BC38FC" w:rsidP="00BC38FC">
      <w:pPr>
        <w:pStyle w:val="En-tte"/>
        <w:shd w:val="clear" w:color="auto" w:fill="008264"/>
        <w:tabs>
          <w:tab w:val="clear" w:pos="4320"/>
          <w:tab w:val="left" w:pos="8640"/>
        </w:tabs>
        <w:ind w:left="720" w:right="720"/>
        <w:rPr>
          <w:rFonts w:ascii="Segoe" w:hAnsi="Segoe"/>
          <w:b/>
          <w:bCs/>
          <w:color w:val="FFFFFF"/>
          <w:sz w:val="28"/>
          <w:szCs w:val="28"/>
        </w:rPr>
      </w:pPr>
      <w:bookmarkStart w:id="0" w:name="_Hlk8286730"/>
      <w:bookmarkStart w:id="1" w:name="_Hlk8287618"/>
      <w:bookmarkStart w:id="2" w:name="_GoBack"/>
      <w:bookmarkEnd w:id="2"/>
      <w:r>
        <w:rPr>
          <w:rFonts w:ascii="Segoe" w:hAnsi="Segoe"/>
          <w:b/>
          <w:bCs/>
          <w:color w:val="FFFFFF"/>
          <w:sz w:val="28"/>
          <w:szCs w:val="28"/>
        </w:rPr>
        <w:t>ANNEXE</w:t>
      </w:r>
      <w:r>
        <w:rPr>
          <w:rFonts w:ascii="Segoe" w:hAnsi="Segoe"/>
          <w:b/>
          <w:bCs/>
          <w:color w:val="FFFFFF"/>
          <w:sz w:val="28"/>
          <w:szCs w:val="28"/>
        </w:rPr>
        <w:tab/>
      </w:r>
      <w:r w:rsidRPr="006576A9">
        <w:rPr>
          <w:rFonts w:ascii="Segoe" w:hAnsi="Segoe"/>
          <w:b/>
          <w:bCs/>
          <w:color w:val="FFFFFF"/>
          <w:sz w:val="28"/>
          <w:szCs w:val="28"/>
        </w:rPr>
        <w:t xml:space="preserve">ADM </w:t>
      </w:r>
      <w:r>
        <w:rPr>
          <w:rFonts w:ascii="Segoe" w:hAnsi="Segoe"/>
          <w:b/>
          <w:bCs/>
          <w:color w:val="FFFFFF"/>
          <w:sz w:val="28"/>
          <w:szCs w:val="28"/>
        </w:rPr>
        <w:t>1.28.1</w:t>
      </w:r>
    </w:p>
    <w:p w14:paraId="0CE52CA2" w14:textId="77777777" w:rsidR="00BC38FC" w:rsidRDefault="00BC38FC" w:rsidP="00BC38FC">
      <w:pPr>
        <w:pStyle w:val="En-tte"/>
        <w:tabs>
          <w:tab w:val="clear" w:pos="4320"/>
          <w:tab w:val="clear" w:pos="8640"/>
        </w:tabs>
        <w:ind w:firstLine="720"/>
        <w:rPr>
          <w:rFonts w:ascii="Segoe" w:hAnsi="Segoe"/>
          <w:b/>
          <w:bCs/>
          <w:sz w:val="22"/>
          <w:szCs w:val="22"/>
        </w:rPr>
      </w:pPr>
      <w:r>
        <w:rPr>
          <w:rFonts w:ascii="Segoe" w:hAnsi="Segoe"/>
          <w:sz w:val="22"/>
          <w:szCs w:val="22"/>
        </w:rPr>
        <w:t xml:space="preserve">Domaine : </w:t>
      </w:r>
      <w:r>
        <w:rPr>
          <w:rFonts w:ascii="Segoe" w:hAnsi="Segoe"/>
          <w:b/>
          <w:bCs/>
          <w:sz w:val="22"/>
          <w:szCs w:val="22"/>
        </w:rPr>
        <w:t>Administration</w:t>
      </w:r>
    </w:p>
    <w:p w14:paraId="4EEDFE92" w14:textId="1DC18F54" w:rsidR="00BC38FC" w:rsidRDefault="00BC38FC" w:rsidP="00BC38FC">
      <w:pPr>
        <w:pStyle w:val="En-tte"/>
        <w:tabs>
          <w:tab w:val="clear" w:pos="4320"/>
          <w:tab w:val="clear" w:pos="8640"/>
        </w:tabs>
        <w:ind w:left="720" w:right="720"/>
        <w:rPr>
          <w:rFonts w:ascii="Segoe" w:hAnsi="Segoe"/>
          <w:sz w:val="22"/>
          <w:szCs w:val="22"/>
        </w:rPr>
      </w:pPr>
      <w:r>
        <w:rPr>
          <w:rFonts w:ascii="Segoe" w:hAnsi="Segoe"/>
          <w:sz w:val="22"/>
          <w:szCs w:val="22"/>
        </w:rPr>
        <w:t xml:space="preserve">Référence : </w:t>
      </w:r>
      <w:hyperlink r:id="rId8" w:tooltip="Directive administrative de mutation des directions et des directions adjointes d'école" w:history="1">
        <w:r w:rsidRPr="00BC38FC">
          <w:rPr>
            <w:rStyle w:val="Lienhypertexte"/>
            <w:rFonts w:ascii="Segoe" w:hAnsi="Segoe"/>
            <w:sz w:val="22"/>
            <w:szCs w:val="22"/>
          </w:rPr>
          <w:t>ADM 1.28 Mutation des directions et des directions adjointes d’école</w:t>
        </w:r>
      </w:hyperlink>
    </w:p>
    <w:p w14:paraId="1B4BF7F7" w14:textId="3BD83D4A" w:rsidR="00BC38FC" w:rsidRDefault="00BC38FC" w:rsidP="00BC38FC">
      <w:pPr>
        <w:pStyle w:val="En-tte"/>
        <w:tabs>
          <w:tab w:val="clear" w:pos="4320"/>
          <w:tab w:val="clear" w:pos="8640"/>
        </w:tabs>
        <w:ind w:right="720" w:firstLine="720"/>
        <w:jc w:val="right"/>
        <w:rPr>
          <w:rFonts w:ascii="Segoe" w:hAnsi="Segoe"/>
          <w:sz w:val="16"/>
          <w:szCs w:val="16"/>
        </w:rPr>
      </w:pPr>
      <w:r>
        <w:rPr>
          <w:rFonts w:ascii="Segoe" w:hAnsi="Segoe"/>
          <w:sz w:val="16"/>
          <w:szCs w:val="16"/>
        </w:rPr>
        <w:t>En vigueur le 28 janvier 2020 (CF)</w:t>
      </w:r>
    </w:p>
    <w:p w14:paraId="4C7478CD" w14:textId="554FE179" w:rsidR="00BC38FC" w:rsidRDefault="00BC38FC" w:rsidP="00BC38FC">
      <w:pPr>
        <w:pStyle w:val="En-tte"/>
        <w:pBdr>
          <w:bottom w:val="single" w:sz="4" w:space="1" w:color="auto"/>
        </w:pBdr>
        <w:tabs>
          <w:tab w:val="clear" w:pos="4320"/>
          <w:tab w:val="clear" w:pos="8640"/>
        </w:tabs>
        <w:ind w:left="720" w:right="720"/>
        <w:jc w:val="right"/>
        <w:rPr>
          <w:rFonts w:ascii="Segoe" w:hAnsi="Segoe"/>
          <w:sz w:val="16"/>
          <w:szCs w:val="16"/>
        </w:rPr>
      </w:pPr>
    </w:p>
    <w:p w14:paraId="2B4B218C" w14:textId="77777777" w:rsidR="00BC38FC" w:rsidRPr="00D80354" w:rsidRDefault="00BC38FC" w:rsidP="00BC38FC">
      <w:pPr>
        <w:pStyle w:val="En-tte"/>
        <w:tabs>
          <w:tab w:val="clear" w:pos="4320"/>
          <w:tab w:val="clear" w:pos="8640"/>
        </w:tabs>
        <w:ind w:firstLine="720"/>
        <w:rPr>
          <w:rFonts w:ascii="Segoe UI" w:hAnsi="Segoe UI" w:cs="Segoe UI"/>
          <w:sz w:val="18"/>
          <w:szCs w:val="18"/>
        </w:rPr>
      </w:pPr>
      <w:r w:rsidRPr="00D80354">
        <w:rPr>
          <w:rFonts w:ascii="Segoe UI" w:hAnsi="Segoe UI" w:cs="Segoe UI"/>
          <w:bCs/>
          <w:i/>
          <w:iCs/>
          <w:sz w:val="18"/>
          <w:szCs w:val="18"/>
        </w:rPr>
        <w:t>L’usage du masculin a pour but d’alléger le texte.</w:t>
      </w:r>
    </w:p>
    <w:bookmarkEnd w:id="0"/>
    <w:bookmarkEnd w:id="1"/>
    <w:p w14:paraId="32914DA1" w14:textId="65F9FD39" w:rsidR="00DB5788" w:rsidRPr="00BC38FC" w:rsidRDefault="00BC38FC" w:rsidP="00BC38FC">
      <w:pPr>
        <w:pStyle w:val="Titre1"/>
      </w:pPr>
      <w:r w:rsidRPr="00BC38FC">
        <w:t>Assistance financière lors d’une mutation volontaire à plus de 100 km – directions d’école et directions adjointes</w:t>
      </w:r>
    </w:p>
    <w:p w14:paraId="728BBD70" w14:textId="3569409B" w:rsidR="00CF01B1" w:rsidRPr="00BC38FC" w:rsidRDefault="002F506A" w:rsidP="00BC38FC">
      <w:pPr>
        <w:pStyle w:val="Sous-titre"/>
      </w:pPr>
      <w:r w:rsidRPr="00BC38FC">
        <w:t xml:space="preserve">RECHERCHE DU </w:t>
      </w:r>
      <w:r w:rsidR="00CF01B1" w:rsidRPr="00BC38FC">
        <w:t>LOGEMENT</w:t>
      </w:r>
      <w:r w:rsidR="00BC38FC" w:rsidRPr="00BC38FC">
        <w:br/>
      </w:r>
      <w:r w:rsidR="00CF01B1" w:rsidRPr="00BC38FC">
        <w:rPr>
          <w:b w:val="0"/>
          <w:bCs/>
        </w:rPr>
        <w:t xml:space="preserve">La direction </w:t>
      </w:r>
      <w:r w:rsidRPr="00BC38FC">
        <w:rPr>
          <w:b w:val="0"/>
          <w:bCs/>
        </w:rPr>
        <w:t xml:space="preserve">et/ou la </w:t>
      </w:r>
      <w:r w:rsidR="00CF01B1" w:rsidRPr="00BC38FC">
        <w:rPr>
          <w:b w:val="0"/>
          <w:bCs/>
        </w:rPr>
        <w:t>direction adjointe</w:t>
      </w:r>
      <w:r w:rsidRPr="00BC38FC">
        <w:rPr>
          <w:b w:val="0"/>
          <w:bCs/>
        </w:rPr>
        <w:t xml:space="preserve"> d’école</w:t>
      </w:r>
      <w:r w:rsidR="00CF01B1" w:rsidRPr="00BC38FC">
        <w:rPr>
          <w:b w:val="0"/>
          <w:bCs/>
        </w:rPr>
        <w:t xml:space="preserve"> mutée est remboursée pour les frais encourus dans la recherche d’un logement selon les modalités suivantes :</w:t>
      </w:r>
    </w:p>
    <w:p w14:paraId="7A1CD5BF" w14:textId="2177C830" w:rsidR="00594635" w:rsidRPr="00BC38FC" w:rsidRDefault="00DB5788" w:rsidP="00BC38FC">
      <w:pPr>
        <w:pStyle w:val="Listeniveau2"/>
      </w:pPr>
      <w:r w:rsidRPr="00BC38FC">
        <w:t xml:space="preserve">les frais d’un voyage aller-retour </w:t>
      </w:r>
      <w:r w:rsidR="00CF01B1" w:rsidRPr="00BC38FC">
        <w:t xml:space="preserve">pour la direction </w:t>
      </w:r>
      <w:r w:rsidR="002F506A" w:rsidRPr="00BC38FC">
        <w:t>et/ou la</w:t>
      </w:r>
      <w:r w:rsidR="00594635" w:rsidRPr="00BC38FC">
        <w:t xml:space="preserve"> direction adjointe</w:t>
      </w:r>
      <w:r w:rsidRPr="00BC38FC">
        <w:t xml:space="preserve"> </w:t>
      </w:r>
      <w:r w:rsidR="002F506A" w:rsidRPr="00BC38FC">
        <w:t xml:space="preserve">d’école </w:t>
      </w:r>
      <w:r w:rsidRPr="00BC38FC">
        <w:t xml:space="preserve">et de son conjoint par transporteur public selon le tarif suivant : </w:t>
      </w:r>
      <w:r w:rsidR="00594635" w:rsidRPr="00BC38FC">
        <w:t xml:space="preserve">un </w:t>
      </w:r>
      <w:r w:rsidR="007A586F" w:rsidRPr="00BC38FC">
        <w:t xml:space="preserve">billet économique </w:t>
      </w:r>
      <w:r w:rsidR="00594635" w:rsidRPr="00BC38FC">
        <w:t xml:space="preserve">en avion, </w:t>
      </w:r>
      <w:r w:rsidRPr="00BC38FC">
        <w:t xml:space="preserve">en train </w:t>
      </w:r>
      <w:r w:rsidR="00594635" w:rsidRPr="00BC38FC">
        <w:t>ou</w:t>
      </w:r>
      <w:r w:rsidRPr="00BC38FC">
        <w:t xml:space="preserve"> en autobus.</w:t>
      </w:r>
    </w:p>
    <w:p w14:paraId="3F40FFFD" w14:textId="78768746" w:rsidR="003749EE" w:rsidRPr="00BC38FC" w:rsidRDefault="00594635" w:rsidP="00BC38FC">
      <w:pPr>
        <w:pStyle w:val="Listeniveau2"/>
      </w:pPr>
      <w:r w:rsidRPr="00BC38FC">
        <w:t xml:space="preserve">une indemnisation d’un aller-retour pour la direction </w:t>
      </w:r>
      <w:r w:rsidR="002F506A" w:rsidRPr="00BC38FC">
        <w:t>et/ou la</w:t>
      </w:r>
      <w:r w:rsidRPr="00BC38FC">
        <w:t xml:space="preserve"> direction adjointe</w:t>
      </w:r>
      <w:r w:rsidR="002F506A" w:rsidRPr="00BC38FC">
        <w:t xml:space="preserve"> d’école</w:t>
      </w:r>
      <w:r w:rsidRPr="00BC38FC">
        <w:t xml:space="preserve"> qui </w:t>
      </w:r>
      <w:r w:rsidR="00BF18CF" w:rsidRPr="00BC38FC">
        <w:t xml:space="preserve">utilise </w:t>
      </w:r>
      <w:r w:rsidRPr="00BC38FC">
        <w:t xml:space="preserve">son véhicule personnel, </w:t>
      </w:r>
      <w:r w:rsidR="00BF18CF" w:rsidRPr="00BC38FC">
        <w:t xml:space="preserve">et ce, </w:t>
      </w:r>
      <w:r w:rsidRPr="00BC38FC">
        <w:t xml:space="preserve">conformément </w:t>
      </w:r>
      <w:r w:rsidR="00BF18CF" w:rsidRPr="00BC38FC">
        <w:t xml:space="preserve">au taux kilométrique fixé </w:t>
      </w:r>
      <w:r w:rsidRPr="00BC38FC">
        <w:t xml:space="preserve">dans la directive administrative </w:t>
      </w:r>
      <w:hyperlink r:id="rId9" w:tooltip="Directive administrative de remboursement des dépenses des membres du personnel" w:history="1">
        <w:r w:rsidRPr="00BC38FC">
          <w:rPr>
            <w:rStyle w:val="Lienhypertexte"/>
            <w:i/>
          </w:rPr>
          <w:t>ADM</w:t>
        </w:r>
        <w:r w:rsidR="003749EE" w:rsidRPr="00BC38FC">
          <w:rPr>
            <w:rStyle w:val="Lienhypertexte"/>
            <w:i/>
          </w:rPr>
          <w:t xml:space="preserve"> 3.6 Remboursement des dépenses des membres du personnel</w:t>
        </w:r>
      </w:hyperlink>
      <w:r w:rsidR="003749EE" w:rsidRPr="00BC38FC">
        <w:t>.</w:t>
      </w:r>
    </w:p>
    <w:p w14:paraId="6EC60F2D" w14:textId="0BF3C275" w:rsidR="003749EE" w:rsidRPr="00BC38FC" w:rsidRDefault="00BF18CF" w:rsidP="00BC38FC">
      <w:pPr>
        <w:pStyle w:val="Listeniveau2"/>
      </w:pPr>
      <w:r w:rsidRPr="00BC38FC">
        <w:t>les coûts de location d’une voiture, ainsi que les frais d’utilisation d’un tel véhicule</w:t>
      </w:r>
      <w:r w:rsidR="003749EE" w:rsidRPr="00BC38FC">
        <w:t xml:space="preserve"> pour un aller-retour.</w:t>
      </w:r>
    </w:p>
    <w:p w14:paraId="3F411ED1" w14:textId="16746FDA" w:rsidR="003749EE" w:rsidRPr="00BC38FC" w:rsidRDefault="003749EE" w:rsidP="00BC38FC">
      <w:pPr>
        <w:pStyle w:val="Listeniveau2"/>
      </w:pPr>
      <w:r w:rsidRPr="00BC38FC">
        <w:t>le coût réel de l’hébergement durant son séjour à la recherche d’un logement</w:t>
      </w:r>
      <w:r w:rsidR="00F67AA9" w:rsidRPr="00BC38FC">
        <w:t xml:space="preserve"> (maximum de deux (2) jours)</w:t>
      </w:r>
      <w:r w:rsidRPr="00BC38FC">
        <w:t>.</w:t>
      </w:r>
    </w:p>
    <w:p w14:paraId="32C77872" w14:textId="77777777" w:rsidR="00BC38FC" w:rsidRPr="00BC38FC" w:rsidRDefault="003749EE" w:rsidP="00BC38FC">
      <w:pPr>
        <w:pStyle w:val="Sous-titre"/>
      </w:pPr>
      <w:r w:rsidRPr="00BC38FC">
        <w:t>FRAIS DE DÉMÉNAGEMENT</w:t>
      </w:r>
    </w:p>
    <w:p w14:paraId="2A0C04CA" w14:textId="1040FED1" w:rsidR="003749EE" w:rsidRPr="00BC38FC" w:rsidRDefault="003749EE" w:rsidP="00BC38FC">
      <w:pPr>
        <w:pStyle w:val="Listeniveau2"/>
      </w:pPr>
      <w:r w:rsidRPr="00BC38FC">
        <w:t>Les</w:t>
      </w:r>
      <w:r w:rsidR="00B56F51" w:rsidRPr="00BC38FC">
        <w:t xml:space="preserve"> frais d’emballage, de déballage et d’expédition ainsi que les frais d’assurance applicables</w:t>
      </w:r>
      <w:r w:rsidRPr="00BC38FC">
        <w:t>,</w:t>
      </w:r>
      <w:r w:rsidR="00B56F51" w:rsidRPr="00BC38FC">
        <w:t xml:space="preserve"> et ce, jusqu’à concurrence d’un montant de </w:t>
      </w:r>
      <w:r w:rsidR="00B56F51" w:rsidRPr="00BC38FC">
        <w:rPr>
          <w:b/>
        </w:rPr>
        <w:t>4 000 $</w:t>
      </w:r>
      <w:r w:rsidR="00B56F51" w:rsidRPr="00BC38FC">
        <w:t>, sur présentation des pièces justificatives originales.</w:t>
      </w:r>
    </w:p>
    <w:p w14:paraId="2A20728E" w14:textId="287C41BD" w:rsidR="003749EE" w:rsidRPr="00BC38FC" w:rsidRDefault="003749EE" w:rsidP="00BC38FC">
      <w:pPr>
        <w:pStyle w:val="Sous-titre"/>
      </w:pPr>
      <w:r w:rsidRPr="00BC38FC">
        <w:t>FRAIS DE LOGEMENT ET AUTRES FRAIS DE SUBSISTANCE</w:t>
      </w:r>
    </w:p>
    <w:p w14:paraId="39D77BC4" w14:textId="41F2B0C6" w:rsidR="006D04C7" w:rsidRPr="00BC38FC" w:rsidRDefault="006D04C7" w:rsidP="00BC38FC">
      <w:pPr>
        <w:pStyle w:val="Listeniveau2"/>
      </w:pPr>
      <w:r w:rsidRPr="00BC38FC">
        <w:t>Lorsqu’une direction d’école / direction adjointe accepte une mutation volontaire</w:t>
      </w:r>
      <w:r w:rsidR="00596258" w:rsidRPr="00BC38FC">
        <w:t xml:space="preserve"> </w:t>
      </w:r>
      <w:r w:rsidRPr="00BC38FC">
        <w:t>à plus de 100</w:t>
      </w:r>
      <w:r w:rsidR="00596258" w:rsidRPr="00BC38FC">
        <w:t xml:space="preserve"> km</w:t>
      </w:r>
      <w:r w:rsidR="00B56F51" w:rsidRPr="00BC38FC">
        <w:t xml:space="preserve"> et </w:t>
      </w:r>
      <w:r w:rsidRPr="00BC38FC">
        <w:t>qu’elle</w:t>
      </w:r>
      <w:r w:rsidR="00B56F51" w:rsidRPr="00BC38FC">
        <w:t xml:space="preserve"> </w:t>
      </w:r>
      <w:r w:rsidR="00747F94" w:rsidRPr="00BC38FC">
        <w:t>maintient</w:t>
      </w:r>
      <w:r w:rsidR="00B56F51" w:rsidRPr="00BC38FC">
        <w:t xml:space="preserve"> s</w:t>
      </w:r>
      <w:r w:rsidR="00747F94" w:rsidRPr="00BC38FC">
        <w:t>on lieu de résidence principale</w:t>
      </w:r>
      <w:r w:rsidR="00B56F51" w:rsidRPr="00BC38FC">
        <w:t xml:space="preserve">, le </w:t>
      </w:r>
      <w:r w:rsidRPr="00BC38FC">
        <w:t>Conseil</w:t>
      </w:r>
      <w:r w:rsidR="00B56F51" w:rsidRPr="00BC38FC">
        <w:t xml:space="preserve"> rembourse les frais de logement au nouvel endroit</w:t>
      </w:r>
      <w:r w:rsidRPr="00BC38FC">
        <w:t xml:space="preserve"> de travail</w:t>
      </w:r>
      <w:r w:rsidR="00B56F51" w:rsidRPr="00BC38FC">
        <w:t xml:space="preserve">, telle la location d’un appartement ou d’une petite maison ainsi que les autres frais de subsistances, tels les services publics, le service téléphonique et autres, </w:t>
      </w:r>
      <w:r w:rsidRPr="00BC38FC">
        <w:t>le cas échéant</w:t>
      </w:r>
      <w:r w:rsidR="00B56F51" w:rsidRPr="00BC38FC">
        <w:t xml:space="preserve">, et ce, jusqu’à concurrence de </w:t>
      </w:r>
      <w:r w:rsidR="00B56F51" w:rsidRPr="00BC38FC">
        <w:rPr>
          <w:b/>
        </w:rPr>
        <w:t>800 $</w:t>
      </w:r>
      <w:r w:rsidR="00B56F51" w:rsidRPr="00BC38FC">
        <w:t xml:space="preserve"> par mois pour les frais de logement et </w:t>
      </w:r>
      <w:r w:rsidRPr="00BC38FC">
        <w:rPr>
          <w:b/>
        </w:rPr>
        <w:t>200 $</w:t>
      </w:r>
      <w:r w:rsidR="00B26E1A" w:rsidRPr="00BC38FC">
        <w:t xml:space="preserve"> par mois p</w:t>
      </w:r>
      <w:r w:rsidRPr="00BC38FC">
        <w:t xml:space="preserve">our tous </w:t>
      </w:r>
      <w:r w:rsidR="00B26E1A" w:rsidRPr="00BC38FC">
        <w:t>les autres frais de subsistance. Le remboursement se fera sur présentation</w:t>
      </w:r>
      <w:r w:rsidR="00E045D4" w:rsidRPr="00BC38FC">
        <w:t xml:space="preserve"> </w:t>
      </w:r>
      <w:r w:rsidRPr="00BC38FC">
        <w:t>de</w:t>
      </w:r>
      <w:r w:rsidR="00E045D4" w:rsidRPr="00BC38FC">
        <w:t xml:space="preserve"> documentatio</w:t>
      </w:r>
      <w:r w:rsidRPr="00BC38FC">
        <w:t>n satisfaisant le Conseil en tant que preuve des dépenses encourues.</w:t>
      </w:r>
    </w:p>
    <w:p w14:paraId="1AB3E14D" w14:textId="77777777" w:rsidR="00B56F51" w:rsidRPr="00BC38FC" w:rsidRDefault="006D04C7" w:rsidP="00BC38FC">
      <w:pPr>
        <w:pStyle w:val="Listeniveau2"/>
      </w:pPr>
      <w:r w:rsidRPr="00BC38FC">
        <w:lastRenderedPageBreak/>
        <w:t>U</w:t>
      </w:r>
      <w:r w:rsidR="00E045D4" w:rsidRPr="00BC38FC">
        <w:t xml:space="preserve">ne allocation forfaitaire de </w:t>
      </w:r>
      <w:r w:rsidR="00E045D4" w:rsidRPr="00BC38FC">
        <w:rPr>
          <w:b/>
        </w:rPr>
        <w:t xml:space="preserve">250 $ </w:t>
      </w:r>
      <w:r w:rsidR="00E045D4" w:rsidRPr="00BC38FC">
        <w:t xml:space="preserve">par mois </w:t>
      </w:r>
      <w:r w:rsidRPr="00BC38FC">
        <w:t>pour le déplacement</w:t>
      </w:r>
      <w:r w:rsidR="00E045D4" w:rsidRPr="00BC38FC">
        <w:t xml:space="preserve"> entre </w:t>
      </w:r>
      <w:r w:rsidR="00DE274E" w:rsidRPr="00BC38FC">
        <w:t>la</w:t>
      </w:r>
      <w:r w:rsidR="00E045D4" w:rsidRPr="00BC38FC">
        <w:t xml:space="preserve"> résidence secondaire et </w:t>
      </w:r>
      <w:r w:rsidR="00DE274E" w:rsidRPr="00BC38FC">
        <w:t>la</w:t>
      </w:r>
      <w:r w:rsidR="00E045D4" w:rsidRPr="00BC38FC">
        <w:t xml:space="preserve"> ré</w:t>
      </w:r>
      <w:r w:rsidR="00987899" w:rsidRPr="00BC38FC">
        <w:t xml:space="preserve">sidence principale est accordée </w:t>
      </w:r>
      <w:r w:rsidR="00DE274E" w:rsidRPr="00BC38FC">
        <w:t xml:space="preserve">seulement </w:t>
      </w:r>
      <w:r w:rsidR="00987899" w:rsidRPr="00BC38FC">
        <w:t xml:space="preserve">si </w:t>
      </w:r>
      <w:r w:rsidR="00DE274E" w:rsidRPr="00BC38FC">
        <w:t>sa</w:t>
      </w:r>
      <w:r w:rsidR="00987899" w:rsidRPr="00BC38FC">
        <w:t xml:space="preserve"> famille </w:t>
      </w:r>
      <w:r w:rsidR="00DE274E" w:rsidRPr="00BC38FC">
        <w:t>réside toujours dans la résidence principale.</w:t>
      </w:r>
    </w:p>
    <w:p w14:paraId="31D9A25A" w14:textId="77777777" w:rsidR="00DB5788" w:rsidRPr="00BC38FC" w:rsidRDefault="00987899" w:rsidP="00BC38FC">
      <w:pPr>
        <w:pStyle w:val="Sous-titre"/>
      </w:pPr>
      <w:r w:rsidRPr="00BC38FC">
        <w:t>MODALITÉS DE REMBOURSEMENT</w:t>
      </w:r>
    </w:p>
    <w:p w14:paraId="09E58C7A" w14:textId="3F020015" w:rsidR="009A4872" w:rsidRPr="00BC38FC" w:rsidRDefault="002C14D9" w:rsidP="00BC38FC">
      <w:pPr>
        <w:pStyle w:val="Listeniveau2"/>
      </w:pPr>
      <w:r w:rsidRPr="00BC38FC">
        <w:t xml:space="preserve">Sous réserve des modalités </w:t>
      </w:r>
      <w:r w:rsidR="005D5A54" w:rsidRPr="00BC38FC">
        <w:t>précisées</w:t>
      </w:r>
      <w:r w:rsidRPr="00BC38FC">
        <w:t xml:space="preserve"> ci-dessus </w:t>
      </w:r>
      <w:r w:rsidR="005D5A54" w:rsidRPr="00BC38FC">
        <w:t>quant à</w:t>
      </w:r>
      <w:r w:rsidRPr="00BC38FC">
        <w:t xml:space="preserve"> certaines dépenses</w:t>
      </w:r>
      <w:r w:rsidR="005D5A54" w:rsidRPr="00BC38FC">
        <w:t xml:space="preserve">, la direction d’école / direction adjointe doit suivre le processus prescrit dans la directive administrative </w:t>
      </w:r>
      <w:r w:rsidR="005D5A54" w:rsidRPr="00BC38FC">
        <w:rPr>
          <w:i/>
        </w:rPr>
        <w:t>ADM 3.6 Remboursement des dépenses des membres du personnel</w:t>
      </w:r>
      <w:r w:rsidR="005D5A54" w:rsidRPr="00BC38FC">
        <w:t xml:space="preserve"> et l’Annexe </w:t>
      </w:r>
      <w:hyperlink r:id="rId10" w:tooltip="Annexe de demande de remboursement" w:history="1">
        <w:r w:rsidR="005D5A54" w:rsidRPr="00BC38FC">
          <w:rPr>
            <w:rStyle w:val="Lienhypertexte"/>
            <w:i/>
          </w:rPr>
          <w:t>ADM 3.6.</w:t>
        </w:r>
        <w:r w:rsidR="00BC38FC" w:rsidRPr="00BC38FC">
          <w:rPr>
            <w:rStyle w:val="Lienhypertexte"/>
            <w:i/>
          </w:rPr>
          <w:t>1</w:t>
        </w:r>
        <w:r w:rsidR="005D5A54" w:rsidRPr="00BC38FC">
          <w:rPr>
            <w:rStyle w:val="Lienhypertexte"/>
            <w:i/>
          </w:rPr>
          <w:t xml:space="preserve"> Demande de remboursement</w:t>
        </w:r>
      </w:hyperlink>
      <w:r w:rsidR="005D5A54" w:rsidRPr="00BC38FC">
        <w:t xml:space="preserve">. </w:t>
      </w:r>
    </w:p>
    <w:sectPr w:rsidR="009A4872" w:rsidRPr="00BC38FC" w:rsidSect="00BC38FC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360" w:bottom="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C07CC" w14:textId="77777777" w:rsidR="000965FE" w:rsidRDefault="000965FE">
      <w:r>
        <w:separator/>
      </w:r>
    </w:p>
  </w:endnote>
  <w:endnote w:type="continuationSeparator" w:id="0">
    <w:p w14:paraId="737BA027" w14:textId="77777777" w:rsidR="000965FE" w:rsidRDefault="0009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o">
    <w:panose1 w:val="020B0502040504020203"/>
    <w:charset w:val="00"/>
    <w:family w:val="swiss"/>
    <w:pitch w:val="variable"/>
    <w:sig w:usb0="A00002A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neSans LT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E9C6F" w14:textId="77777777" w:rsidR="00FD0C64" w:rsidRDefault="00FD0C64" w:rsidP="00FD0C6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940206" w14:textId="77777777" w:rsidR="00FD0C64" w:rsidRDefault="00FD0C64" w:rsidP="00FD0C6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48D80" w14:textId="77777777" w:rsidR="00FD0C64" w:rsidRPr="002F506A" w:rsidRDefault="007A586F" w:rsidP="00FD0C64">
    <w:pPr>
      <w:pStyle w:val="Pieddepage"/>
      <w:tabs>
        <w:tab w:val="clear" w:pos="8640"/>
      </w:tabs>
      <w:ind w:right="360"/>
      <w:jc w:val="right"/>
      <w:rPr>
        <w:rFonts w:ascii="Segoe" w:hAnsi="Segoe"/>
        <w:sz w:val="18"/>
        <w:szCs w:val="18"/>
      </w:rPr>
    </w:pPr>
    <w:r w:rsidRPr="002F506A">
      <w:rPr>
        <w:rFonts w:ascii="Segoe" w:hAnsi="Segoe"/>
        <w:sz w:val="18"/>
        <w:szCs w:val="18"/>
      </w:rPr>
      <w:t>ADM 1.28.1</w:t>
    </w:r>
  </w:p>
  <w:p w14:paraId="52555D36" w14:textId="77777777" w:rsidR="00FD0C64" w:rsidRPr="000C7D70" w:rsidRDefault="00FD0C64" w:rsidP="00FD0C64">
    <w:pPr>
      <w:pStyle w:val="Pieddepage"/>
      <w:tabs>
        <w:tab w:val="clear" w:pos="8640"/>
      </w:tabs>
      <w:ind w:right="360"/>
      <w:jc w:val="right"/>
      <w:rPr>
        <w:rFonts w:ascii="StoneSans LT" w:hAnsi="StoneSans LT"/>
        <w:b/>
        <w:sz w:val="18"/>
        <w:szCs w:val="18"/>
      </w:rPr>
    </w:pPr>
    <w:r w:rsidRPr="002F506A">
      <w:rPr>
        <w:rFonts w:ascii="Segoe" w:hAnsi="Segoe"/>
        <w:sz w:val="18"/>
        <w:szCs w:val="18"/>
      </w:rPr>
      <w:t xml:space="preserve">Page </w:t>
    </w:r>
    <w:r w:rsidRPr="002F506A">
      <w:rPr>
        <w:rFonts w:ascii="Segoe" w:hAnsi="Segoe"/>
        <w:sz w:val="18"/>
        <w:szCs w:val="18"/>
      </w:rPr>
      <w:fldChar w:fldCharType="begin"/>
    </w:r>
    <w:r w:rsidRPr="002F506A">
      <w:rPr>
        <w:rFonts w:ascii="Segoe" w:hAnsi="Segoe"/>
        <w:sz w:val="18"/>
        <w:szCs w:val="18"/>
      </w:rPr>
      <w:instrText xml:space="preserve"> PAGE </w:instrText>
    </w:r>
    <w:r w:rsidRPr="002F506A">
      <w:rPr>
        <w:rFonts w:ascii="Segoe" w:hAnsi="Segoe"/>
        <w:sz w:val="18"/>
        <w:szCs w:val="18"/>
      </w:rPr>
      <w:fldChar w:fldCharType="separate"/>
    </w:r>
    <w:r w:rsidR="007A586F" w:rsidRPr="002F506A">
      <w:rPr>
        <w:rFonts w:ascii="Segoe" w:hAnsi="Segoe"/>
        <w:noProof/>
        <w:sz w:val="18"/>
        <w:szCs w:val="18"/>
      </w:rPr>
      <w:t>2</w:t>
    </w:r>
    <w:r w:rsidRPr="002F506A">
      <w:rPr>
        <w:rFonts w:ascii="Segoe" w:hAnsi="Segoe"/>
        <w:sz w:val="18"/>
        <w:szCs w:val="18"/>
      </w:rPr>
      <w:fldChar w:fldCharType="end"/>
    </w:r>
    <w:r w:rsidRPr="002F506A">
      <w:rPr>
        <w:rFonts w:ascii="Segoe" w:hAnsi="Segoe"/>
        <w:sz w:val="18"/>
        <w:szCs w:val="18"/>
      </w:rPr>
      <w:t xml:space="preserve"> sur </w:t>
    </w:r>
    <w:r w:rsidRPr="002F506A">
      <w:rPr>
        <w:rFonts w:ascii="Segoe" w:hAnsi="Segoe"/>
        <w:sz w:val="18"/>
        <w:szCs w:val="18"/>
      </w:rPr>
      <w:fldChar w:fldCharType="begin"/>
    </w:r>
    <w:r w:rsidRPr="002F506A">
      <w:rPr>
        <w:rFonts w:ascii="Segoe" w:hAnsi="Segoe"/>
        <w:sz w:val="18"/>
        <w:szCs w:val="18"/>
      </w:rPr>
      <w:instrText xml:space="preserve"> NUMPAGES </w:instrText>
    </w:r>
    <w:r w:rsidRPr="002F506A">
      <w:rPr>
        <w:rFonts w:ascii="Segoe" w:hAnsi="Segoe"/>
        <w:sz w:val="18"/>
        <w:szCs w:val="18"/>
      </w:rPr>
      <w:fldChar w:fldCharType="separate"/>
    </w:r>
    <w:r w:rsidR="007A586F" w:rsidRPr="002F506A">
      <w:rPr>
        <w:rFonts w:ascii="Segoe" w:hAnsi="Segoe"/>
        <w:noProof/>
        <w:sz w:val="18"/>
        <w:szCs w:val="18"/>
      </w:rPr>
      <w:t>2</w:t>
    </w:r>
    <w:r w:rsidRPr="002F506A">
      <w:rPr>
        <w:rFonts w:ascii="Segoe" w:hAnsi="Segoe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9AEF1" w14:textId="77777777" w:rsidR="00BC38FC" w:rsidRPr="002F506A" w:rsidRDefault="00BC38FC" w:rsidP="00BC38FC">
    <w:pPr>
      <w:pStyle w:val="Pieddepage"/>
      <w:tabs>
        <w:tab w:val="clear" w:pos="8640"/>
      </w:tabs>
      <w:ind w:right="360"/>
      <w:jc w:val="right"/>
      <w:rPr>
        <w:rFonts w:ascii="Segoe" w:hAnsi="Segoe"/>
        <w:sz w:val="18"/>
        <w:szCs w:val="18"/>
      </w:rPr>
    </w:pPr>
    <w:r w:rsidRPr="002F506A">
      <w:rPr>
        <w:rFonts w:ascii="Segoe" w:hAnsi="Segoe"/>
        <w:sz w:val="18"/>
        <w:szCs w:val="18"/>
      </w:rPr>
      <w:t>ADM 1.28.1</w:t>
    </w:r>
  </w:p>
  <w:p w14:paraId="3D7917D0" w14:textId="77777777" w:rsidR="00BC38FC" w:rsidRPr="000C7D70" w:rsidRDefault="00BC38FC" w:rsidP="00BC38FC">
    <w:pPr>
      <w:pStyle w:val="Pieddepage"/>
      <w:tabs>
        <w:tab w:val="clear" w:pos="8640"/>
      </w:tabs>
      <w:ind w:right="360"/>
      <w:jc w:val="right"/>
      <w:rPr>
        <w:rFonts w:ascii="StoneSans LT" w:hAnsi="StoneSans LT"/>
        <w:b/>
        <w:sz w:val="18"/>
        <w:szCs w:val="18"/>
      </w:rPr>
    </w:pPr>
    <w:r w:rsidRPr="002F506A">
      <w:rPr>
        <w:rFonts w:ascii="Segoe" w:hAnsi="Segoe"/>
        <w:sz w:val="18"/>
        <w:szCs w:val="18"/>
      </w:rPr>
      <w:t xml:space="preserve">Page </w:t>
    </w:r>
    <w:r w:rsidRPr="002F506A">
      <w:rPr>
        <w:rFonts w:ascii="Segoe" w:hAnsi="Segoe"/>
        <w:sz w:val="18"/>
        <w:szCs w:val="18"/>
      </w:rPr>
      <w:fldChar w:fldCharType="begin"/>
    </w:r>
    <w:r w:rsidRPr="002F506A">
      <w:rPr>
        <w:rFonts w:ascii="Segoe" w:hAnsi="Segoe"/>
        <w:sz w:val="18"/>
        <w:szCs w:val="18"/>
      </w:rPr>
      <w:instrText xml:space="preserve"> PAGE </w:instrText>
    </w:r>
    <w:r w:rsidRPr="002F506A">
      <w:rPr>
        <w:rFonts w:ascii="Segoe" w:hAnsi="Segoe"/>
        <w:sz w:val="18"/>
        <w:szCs w:val="18"/>
      </w:rPr>
      <w:fldChar w:fldCharType="separate"/>
    </w:r>
    <w:r>
      <w:rPr>
        <w:rFonts w:ascii="Segoe" w:hAnsi="Segoe"/>
        <w:sz w:val="18"/>
        <w:szCs w:val="18"/>
      </w:rPr>
      <w:t>2</w:t>
    </w:r>
    <w:r w:rsidRPr="002F506A">
      <w:rPr>
        <w:rFonts w:ascii="Segoe" w:hAnsi="Segoe"/>
        <w:sz w:val="18"/>
        <w:szCs w:val="18"/>
      </w:rPr>
      <w:fldChar w:fldCharType="end"/>
    </w:r>
    <w:r w:rsidRPr="002F506A">
      <w:rPr>
        <w:rFonts w:ascii="Segoe" w:hAnsi="Segoe"/>
        <w:sz w:val="18"/>
        <w:szCs w:val="18"/>
      </w:rPr>
      <w:t xml:space="preserve"> sur </w:t>
    </w:r>
    <w:r w:rsidRPr="002F506A">
      <w:rPr>
        <w:rFonts w:ascii="Segoe" w:hAnsi="Segoe"/>
        <w:sz w:val="18"/>
        <w:szCs w:val="18"/>
      </w:rPr>
      <w:fldChar w:fldCharType="begin"/>
    </w:r>
    <w:r w:rsidRPr="002F506A">
      <w:rPr>
        <w:rFonts w:ascii="Segoe" w:hAnsi="Segoe"/>
        <w:sz w:val="18"/>
        <w:szCs w:val="18"/>
      </w:rPr>
      <w:instrText xml:space="preserve"> NUMPAGES </w:instrText>
    </w:r>
    <w:r w:rsidRPr="002F506A">
      <w:rPr>
        <w:rFonts w:ascii="Segoe" w:hAnsi="Segoe"/>
        <w:sz w:val="18"/>
        <w:szCs w:val="18"/>
      </w:rPr>
      <w:fldChar w:fldCharType="separate"/>
    </w:r>
    <w:r>
      <w:rPr>
        <w:rFonts w:ascii="Segoe" w:hAnsi="Segoe"/>
        <w:sz w:val="18"/>
        <w:szCs w:val="18"/>
      </w:rPr>
      <w:t>2</w:t>
    </w:r>
    <w:r w:rsidRPr="002F506A">
      <w:rPr>
        <w:rFonts w:ascii="Segoe" w:hAnsi="Sego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BBA03" w14:textId="77777777" w:rsidR="000965FE" w:rsidRDefault="000965FE">
      <w:r>
        <w:separator/>
      </w:r>
    </w:p>
  </w:footnote>
  <w:footnote w:type="continuationSeparator" w:id="0">
    <w:p w14:paraId="0AAEC9F8" w14:textId="77777777" w:rsidR="000965FE" w:rsidRDefault="00096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F9715" w14:textId="18901D2A" w:rsidR="00BC38FC" w:rsidRDefault="00BC38FC" w:rsidP="00BC38FC">
    <w:pPr>
      <w:pStyle w:val="En-tte"/>
      <w:ind w:firstLine="630"/>
    </w:pPr>
    <w:r w:rsidRPr="00FB1310">
      <w:rPr>
        <w:noProof/>
      </w:rPr>
      <w:drawing>
        <wp:inline distT="0" distB="0" distL="0" distR="0" wp14:anchorId="6BBB8DF3" wp14:editId="15419E3D">
          <wp:extent cx="1363092" cy="815340"/>
          <wp:effectExtent l="0" t="0" r="0" b="0"/>
          <wp:docPr id="2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47" t="29225" r="23746" b="30301"/>
                  <a:stretch/>
                </pic:blipFill>
                <pic:spPr bwMode="auto">
                  <a:xfrm>
                    <a:off x="0" y="0"/>
                    <a:ext cx="136271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D6A09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FA11ABF"/>
    <w:multiLevelType w:val="multilevel"/>
    <w:tmpl w:val="C18E0902"/>
    <w:lvl w:ilvl="0">
      <w:start w:val="1"/>
      <w:numFmt w:val="decimal"/>
      <w:pStyle w:val="Sous-titre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Listeniveau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CF"/>
    <w:rsid w:val="00026CF5"/>
    <w:rsid w:val="000701E4"/>
    <w:rsid w:val="000965FE"/>
    <w:rsid w:val="000A011E"/>
    <w:rsid w:val="000B6BA1"/>
    <w:rsid w:val="000C23BB"/>
    <w:rsid w:val="000C7D70"/>
    <w:rsid w:val="0012619C"/>
    <w:rsid w:val="00140ABF"/>
    <w:rsid w:val="001A4663"/>
    <w:rsid w:val="001B2CD7"/>
    <w:rsid w:val="001B45B0"/>
    <w:rsid w:val="001D067B"/>
    <w:rsid w:val="001D06A3"/>
    <w:rsid w:val="001D46B3"/>
    <w:rsid w:val="002721E7"/>
    <w:rsid w:val="00296D5C"/>
    <w:rsid w:val="002A03FA"/>
    <w:rsid w:val="002A3E6F"/>
    <w:rsid w:val="002C14D9"/>
    <w:rsid w:val="002D03B3"/>
    <w:rsid w:val="002E4787"/>
    <w:rsid w:val="002F506A"/>
    <w:rsid w:val="003146DE"/>
    <w:rsid w:val="00322EC2"/>
    <w:rsid w:val="003341E0"/>
    <w:rsid w:val="00340365"/>
    <w:rsid w:val="003749EE"/>
    <w:rsid w:val="003A4D5F"/>
    <w:rsid w:val="003B1583"/>
    <w:rsid w:val="003B40AF"/>
    <w:rsid w:val="003B6087"/>
    <w:rsid w:val="003C591C"/>
    <w:rsid w:val="0040373E"/>
    <w:rsid w:val="00423503"/>
    <w:rsid w:val="004308E7"/>
    <w:rsid w:val="0043245D"/>
    <w:rsid w:val="004377E8"/>
    <w:rsid w:val="00454764"/>
    <w:rsid w:val="00473374"/>
    <w:rsid w:val="004854FA"/>
    <w:rsid w:val="00486280"/>
    <w:rsid w:val="004900E8"/>
    <w:rsid w:val="004901D0"/>
    <w:rsid w:val="004A1243"/>
    <w:rsid w:val="004B2C27"/>
    <w:rsid w:val="004B5693"/>
    <w:rsid w:val="004D46F2"/>
    <w:rsid w:val="004D75FF"/>
    <w:rsid w:val="004E206E"/>
    <w:rsid w:val="00506B40"/>
    <w:rsid w:val="00507FE5"/>
    <w:rsid w:val="00524549"/>
    <w:rsid w:val="005266EC"/>
    <w:rsid w:val="00533CC0"/>
    <w:rsid w:val="00556DFF"/>
    <w:rsid w:val="00586C24"/>
    <w:rsid w:val="00594635"/>
    <w:rsid w:val="00596258"/>
    <w:rsid w:val="005D5A54"/>
    <w:rsid w:val="005E2C4D"/>
    <w:rsid w:val="00616DF6"/>
    <w:rsid w:val="00666957"/>
    <w:rsid w:val="00683F1B"/>
    <w:rsid w:val="0068692E"/>
    <w:rsid w:val="0069336B"/>
    <w:rsid w:val="00695EF7"/>
    <w:rsid w:val="006A776B"/>
    <w:rsid w:val="006D04BC"/>
    <w:rsid w:val="006D04C7"/>
    <w:rsid w:val="00733011"/>
    <w:rsid w:val="00747F94"/>
    <w:rsid w:val="007626CE"/>
    <w:rsid w:val="007A586F"/>
    <w:rsid w:val="007A677F"/>
    <w:rsid w:val="007D019C"/>
    <w:rsid w:val="00814E33"/>
    <w:rsid w:val="00847CDA"/>
    <w:rsid w:val="00862FCE"/>
    <w:rsid w:val="008777AD"/>
    <w:rsid w:val="008910B7"/>
    <w:rsid w:val="008929AE"/>
    <w:rsid w:val="008A5997"/>
    <w:rsid w:val="008B45E0"/>
    <w:rsid w:val="008C0ED1"/>
    <w:rsid w:val="008C5F49"/>
    <w:rsid w:val="008F3E49"/>
    <w:rsid w:val="009127E0"/>
    <w:rsid w:val="00916BC1"/>
    <w:rsid w:val="00917E24"/>
    <w:rsid w:val="00935490"/>
    <w:rsid w:val="00935949"/>
    <w:rsid w:val="0095380A"/>
    <w:rsid w:val="00961BBF"/>
    <w:rsid w:val="009726F5"/>
    <w:rsid w:val="0097410C"/>
    <w:rsid w:val="00983603"/>
    <w:rsid w:val="00987899"/>
    <w:rsid w:val="009A4872"/>
    <w:rsid w:val="009C5A91"/>
    <w:rsid w:val="009F4504"/>
    <w:rsid w:val="00A0540A"/>
    <w:rsid w:val="00A13DC7"/>
    <w:rsid w:val="00A3294F"/>
    <w:rsid w:val="00A60C2B"/>
    <w:rsid w:val="00A72AE4"/>
    <w:rsid w:val="00A73FC0"/>
    <w:rsid w:val="00A8522D"/>
    <w:rsid w:val="00A9132C"/>
    <w:rsid w:val="00AC055B"/>
    <w:rsid w:val="00B06420"/>
    <w:rsid w:val="00B26E1A"/>
    <w:rsid w:val="00B56F51"/>
    <w:rsid w:val="00B96248"/>
    <w:rsid w:val="00BB0689"/>
    <w:rsid w:val="00BB212D"/>
    <w:rsid w:val="00BC38FC"/>
    <w:rsid w:val="00BF18CF"/>
    <w:rsid w:val="00C1287C"/>
    <w:rsid w:val="00C234A7"/>
    <w:rsid w:val="00C4737C"/>
    <w:rsid w:val="00C56E27"/>
    <w:rsid w:val="00C5756C"/>
    <w:rsid w:val="00C737AF"/>
    <w:rsid w:val="00C76D59"/>
    <w:rsid w:val="00C836C6"/>
    <w:rsid w:val="00CC0747"/>
    <w:rsid w:val="00CC2E7B"/>
    <w:rsid w:val="00CD07DC"/>
    <w:rsid w:val="00CD7A4E"/>
    <w:rsid w:val="00CF01B1"/>
    <w:rsid w:val="00CF5F5C"/>
    <w:rsid w:val="00D01ACA"/>
    <w:rsid w:val="00D133F8"/>
    <w:rsid w:val="00D15525"/>
    <w:rsid w:val="00D22F7B"/>
    <w:rsid w:val="00D379A0"/>
    <w:rsid w:val="00D6145A"/>
    <w:rsid w:val="00D838B7"/>
    <w:rsid w:val="00D926AB"/>
    <w:rsid w:val="00DB3C90"/>
    <w:rsid w:val="00DB5788"/>
    <w:rsid w:val="00DE274E"/>
    <w:rsid w:val="00E045D4"/>
    <w:rsid w:val="00E12D16"/>
    <w:rsid w:val="00E15391"/>
    <w:rsid w:val="00E2227E"/>
    <w:rsid w:val="00E228BB"/>
    <w:rsid w:val="00E60E05"/>
    <w:rsid w:val="00E62207"/>
    <w:rsid w:val="00E77D52"/>
    <w:rsid w:val="00EB7ED8"/>
    <w:rsid w:val="00F05F62"/>
    <w:rsid w:val="00F15A61"/>
    <w:rsid w:val="00F32209"/>
    <w:rsid w:val="00F61C09"/>
    <w:rsid w:val="00F67AA9"/>
    <w:rsid w:val="00FD0C64"/>
    <w:rsid w:val="00FD3946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5519CFE"/>
  <w15:chartTrackingRefBased/>
  <w15:docId w15:val="{FF8E92CC-AB60-4A21-A0E3-D192BD11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BC38FC"/>
    <w:pPr>
      <w:spacing w:before="240" w:after="240"/>
      <w:ind w:left="720" w:right="720"/>
      <w:jc w:val="center"/>
      <w:outlineLvl w:val="0"/>
    </w:pPr>
    <w:rPr>
      <w:rFonts w:ascii="Segoe Pro" w:hAnsi="Segoe Pro" w:cs="Arial"/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4036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40365"/>
    <w:pPr>
      <w:tabs>
        <w:tab w:val="center" w:pos="4320"/>
        <w:tab w:val="right" w:pos="8640"/>
      </w:tabs>
    </w:pPr>
  </w:style>
  <w:style w:type="character" w:styleId="Lienhypertexte">
    <w:name w:val="Hyperlink"/>
    <w:rsid w:val="00340365"/>
    <w:rPr>
      <w:color w:val="0000FF"/>
      <w:u w:val="single"/>
    </w:rPr>
  </w:style>
  <w:style w:type="table" w:styleId="Grilledutableau">
    <w:name w:val="Table Grid"/>
    <w:basedOn w:val="TableauNormal"/>
    <w:rsid w:val="0034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FD0C64"/>
  </w:style>
  <w:style w:type="character" w:styleId="Marquedecommentaire">
    <w:name w:val="annotation reference"/>
    <w:rsid w:val="00507FE5"/>
    <w:rPr>
      <w:sz w:val="16"/>
      <w:szCs w:val="16"/>
    </w:rPr>
  </w:style>
  <w:style w:type="paragraph" w:styleId="Commentaire">
    <w:name w:val="annotation text"/>
    <w:basedOn w:val="Normal"/>
    <w:link w:val="CommentaireCar"/>
    <w:rsid w:val="00507FE5"/>
    <w:rPr>
      <w:sz w:val="20"/>
      <w:szCs w:val="20"/>
    </w:rPr>
  </w:style>
  <w:style w:type="character" w:customStyle="1" w:styleId="CommentaireCar">
    <w:name w:val="Commentaire Car"/>
    <w:link w:val="Commentaire"/>
    <w:rsid w:val="00507FE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507FE5"/>
    <w:rPr>
      <w:b/>
      <w:bCs/>
    </w:rPr>
  </w:style>
  <w:style w:type="character" w:customStyle="1" w:styleId="ObjetducommentaireCar">
    <w:name w:val="Objet du commentaire Car"/>
    <w:link w:val="Objetducommentaire"/>
    <w:rsid w:val="00507FE5"/>
    <w:rPr>
      <w:b/>
      <w:bCs/>
      <w:lang w:eastAsia="en-US"/>
    </w:rPr>
  </w:style>
  <w:style w:type="paragraph" w:styleId="Textedebulles">
    <w:name w:val="Balloon Text"/>
    <w:basedOn w:val="Normal"/>
    <w:link w:val="TextedebullesCar"/>
    <w:rsid w:val="00507F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07FE5"/>
    <w:rPr>
      <w:rFonts w:ascii="Tahoma" w:hAnsi="Tahoma" w:cs="Tahoma"/>
      <w:sz w:val="16"/>
      <w:szCs w:val="16"/>
      <w:lang w:eastAsia="en-US"/>
    </w:rPr>
  </w:style>
  <w:style w:type="character" w:customStyle="1" w:styleId="En-tteCar">
    <w:name w:val="En-tête Car"/>
    <w:link w:val="En-tte"/>
    <w:uiPriority w:val="99"/>
    <w:rsid w:val="002F506A"/>
    <w:rPr>
      <w:sz w:val="24"/>
      <w:szCs w:val="24"/>
      <w:lang w:eastAsia="en-US"/>
    </w:rPr>
  </w:style>
  <w:style w:type="character" w:styleId="Mentionnonrsolue">
    <w:name w:val="Unresolved Mention"/>
    <w:uiPriority w:val="99"/>
    <w:semiHidden/>
    <w:unhideWhenUsed/>
    <w:rsid w:val="002F506A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BC38FC"/>
    <w:rPr>
      <w:rFonts w:ascii="Segoe Pro" w:hAnsi="Segoe Pro" w:cs="Arial"/>
      <w:b/>
      <w:caps/>
      <w:sz w:val="24"/>
      <w:szCs w:val="24"/>
      <w:lang w:eastAsia="en-US"/>
    </w:rPr>
  </w:style>
  <w:style w:type="paragraph" w:styleId="Sous-titre">
    <w:name w:val="Subtitle"/>
    <w:basedOn w:val="Normal"/>
    <w:next w:val="Normal"/>
    <w:link w:val="Sous-titreCar"/>
    <w:autoRedefine/>
    <w:qFormat/>
    <w:rsid w:val="00BC38FC"/>
    <w:pPr>
      <w:numPr>
        <w:numId w:val="1"/>
      </w:numPr>
      <w:spacing w:before="240" w:after="240"/>
      <w:ind w:left="1080" w:right="720"/>
      <w:outlineLvl w:val="1"/>
    </w:pPr>
    <w:rPr>
      <w:rFonts w:ascii="Segoe Pro" w:hAnsi="Segoe Pro" w:cs="Arial"/>
      <w:b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BC38FC"/>
    <w:rPr>
      <w:rFonts w:ascii="Segoe Pro" w:hAnsi="Segoe Pro" w:cs="Arial"/>
      <w:b/>
      <w:sz w:val="22"/>
      <w:szCs w:val="22"/>
      <w:lang w:eastAsia="en-US"/>
    </w:rPr>
  </w:style>
  <w:style w:type="paragraph" w:customStyle="1" w:styleId="Listeniveau2">
    <w:name w:val="Liste à niveau 2"/>
    <w:basedOn w:val="Normal"/>
    <w:link w:val="Listeniveau2Car"/>
    <w:autoRedefine/>
    <w:qFormat/>
    <w:rsid w:val="00BC38FC"/>
    <w:pPr>
      <w:numPr>
        <w:ilvl w:val="1"/>
        <w:numId w:val="1"/>
      </w:numPr>
      <w:tabs>
        <w:tab w:val="left" w:pos="1620"/>
        <w:tab w:val="left" w:pos="1800"/>
      </w:tabs>
      <w:spacing w:before="240" w:after="240"/>
      <w:ind w:left="1627" w:right="720" w:hanging="547"/>
    </w:pPr>
    <w:rPr>
      <w:rFonts w:ascii="Segoe Pro" w:hAnsi="Segoe Pro" w:cs="Arial"/>
      <w:sz w:val="22"/>
      <w:szCs w:val="22"/>
    </w:rPr>
  </w:style>
  <w:style w:type="character" w:customStyle="1" w:styleId="Listeniveau2Car">
    <w:name w:val="Liste à niveau 2 Car"/>
    <w:basedOn w:val="Policepardfaut"/>
    <w:link w:val="Listeniveau2"/>
    <w:rsid w:val="00BC38FC"/>
    <w:rPr>
      <w:rFonts w:ascii="Segoe Pro" w:hAnsi="Segoe Pro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nouvelon.ca/doc/DA/ADM01_28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nouvelon.ca/doc/DA/ADM03_06_01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nouvelon.ca/doc/DA/ADM03_06.pdf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G\Politiques%20et%20DA%20CSCNO%20DOSSIER%20OFFICIEL\Mod&#232;les\Mod&#232;le_Directive_administrativ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38A1-D5C7-46D4-B5B9-7F896FCF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Modèle_Directive_administrative.dot</Template>
  <TotalTime>10</TotalTime>
  <Pages>2</Pages>
  <Words>418</Words>
  <Characters>2654</Characters>
  <Application>Microsoft Office Word</Application>
  <DocSecurity>0</DocSecurity>
  <Lines>49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Assistance financière lors d'une mutation volontaire à plus de 100 km - directions et directions adjointes d'école</vt:lpstr>
    </vt:vector>
  </TitlesOfParts>
  <Company>Home</Company>
  <LinksUpToDate>false</LinksUpToDate>
  <CharactersWithSpaces>3049</CharactersWithSpaces>
  <SharedDoc>false</SharedDoc>
  <HLinks>
    <vt:vector size="24" baseType="variant">
      <vt:variant>
        <vt:i4>1900616</vt:i4>
      </vt:variant>
      <vt:variant>
        <vt:i4>9</vt:i4>
      </vt:variant>
      <vt:variant>
        <vt:i4>0</vt:i4>
      </vt:variant>
      <vt:variant>
        <vt:i4>5</vt:i4>
      </vt:variant>
      <vt:variant>
        <vt:lpwstr>http://docs.nouvelon.ca/doc/DA/ADM03_06_02.xlsx</vt:lpwstr>
      </vt:variant>
      <vt:variant>
        <vt:lpwstr/>
      </vt:variant>
      <vt:variant>
        <vt:i4>3211338</vt:i4>
      </vt:variant>
      <vt:variant>
        <vt:i4>6</vt:i4>
      </vt:variant>
      <vt:variant>
        <vt:i4>0</vt:i4>
      </vt:variant>
      <vt:variant>
        <vt:i4>5</vt:i4>
      </vt:variant>
      <vt:variant>
        <vt:lpwstr>http://docs.nouvelon.ca/doc/DA/ADM03_06.pdf</vt:lpwstr>
      </vt:variant>
      <vt:variant>
        <vt:lpwstr/>
      </vt:variant>
      <vt:variant>
        <vt:i4>3211338</vt:i4>
      </vt:variant>
      <vt:variant>
        <vt:i4>3</vt:i4>
      </vt:variant>
      <vt:variant>
        <vt:i4>0</vt:i4>
      </vt:variant>
      <vt:variant>
        <vt:i4>5</vt:i4>
      </vt:variant>
      <vt:variant>
        <vt:lpwstr>http://docs.nouvelon.ca/doc/DA/ADM03_06.pdf</vt:lpwstr>
      </vt:variant>
      <vt:variant>
        <vt:lpwstr/>
      </vt:variant>
      <vt:variant>
        <vt:i4>3211332</vt:i4>
      </vt:variant>
      <vt:variant>
        <vt:i4>0</vt:i4>
      </vt:variant>
      <vt:variant>
        <vt:i4>0</vt:i4>
      </vt:variant>
      <vt:variant>
        <vt:i4>5</vt:i4>
      </vt:variant>
      <vt:variant>
        <vt:lpwstr>http://docs.nouvelon.ca/doc/DA/ADM01_28.pdf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Assistance financière lors d'une mutation volontaire à plus de 100 km - directions et directions adjointes d'école</dc:title>
  <dc:subject>Annexe d'assistance financière lors d'une mutation volontaire à plus de 100 km - directions d'école et directions adjointes</dc:subject>
  <dc:creator>Conseil scolaire catholique Nouvelon</dc:creator>
  <cp:keywords/>
  <dc:description/>
  <cp:lastModifiedBy>Michelle Viau</cp:lastModifiedBy>
  <cp:revision>4</cp:revision>
  <cp:lastPrinted>2017-02-09T17:02:00Z</cp:lastPrinted>
  <dcterms:created xsi:type="dcterms:W3CDTF">2020-12-01T17:42:00Z</dcterms:created>
  <dcterms:modified xsi:type="dcterms:W3CDTF">2021-08-20T14:00:00Z</dcterms:modified>
</cp:coreProperties>
</file>