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42C2" w14:textId="2BD4B410" w:rsidR="00417C85" w:rsidRPr="000A1910" w:rsidRDefault="00417C85" w:rsidP="00417C85">
      <w:pPr>
        <w:pStyle w:val="En-tte"/>
        <w:shd w:val="clear" w:color="auto" w:fill="008264"/>
        <w:tabs>
          <w:tab w:val="clear" w:pos="4320"/>
          <w:tab w:val="clear" w:pos="8640"/>
          <w:tab w:val="left" w:pos="9090"/>
        </w:tabs>
        <w:ind w:left="720" w:right="720"/>
        <w:rPr>
          <w:rFonts w:ascii="Segoe" w:hAnsi="Segoe"/>
          <w:b/>
          <w:bCs/>
          <w:color w:val="FFFFFF"/>
          <w:sz w:val="28"/>
          <w:szCs w:val="28"/>
        </w:rPr>
      </w:pPr>
      <w:bookmarkStart w:id="0" w:name="_Hlk8286730"/>
      <w:bookmarkStart w:id="1" w:name="_Hlk9858514"/>
      <w:bookmarkStart w:id="2" w:name="_Hlk9934200"/>
      <w:bookmarkStart w:id="3" w:name="_Hlk8988741"/>
      <w:bookmarkStart w:id="4" w:name="_Hlk8287618"/>
      <w:bookmarkStart w:id="5" w:name="_GoBack"/>
      <w:bookmarkEnd w:id="5"/>
      <w:r w:rsidRPr="000A1910">
        <w:rPr>
          <w:rFonts w:ascii="Segoe" w:hAnsi="Segoe"/>
          <w:b/>
          <w:bCs/>
          <w:color w:val="FFFFFF"/>
          <w:sz w:val="28"/>
          <w:szCs w:val="28"/>
        </w:rPr>
        <w:t>DIRECTIVE ADMINISTRATIVE</w:t>
      </w:r>
      <w:r w:rsidRPr="000A1910">
        <w:rPr>
          <w:rFonts w:ascii="Segoe" w:hAnsi="Segoe"/>
          <w:b/>
          <w:bCs/>
          <w:color w:val="FFFFFF"/>
          <w:sz w:val="28"/>
          <w:szCs w:val="28"/>
        </w:rPr>
        <w:tab/>
      </w:r>
      <w:r>
        <w:rPr>
          <w:rFonts w:ascii="Segoe" w:hAnsi="Segoe"/>
          <w:b/>
          <w:bCs/>
          <w:color w:val="FFFFFF"/>
          <w:sz w:val="28"/>
          <w:szCs w:val="28"/>
        </w:rPr>
        <w:t>ÉLV 3.26</w:t>
      </w:r>
    </w:p>
    <w:p w14:paraId="7907D873" w14:textId="5D176177" w:rsidR="00417C85" w:rsidRPr="000A1910" w:rsidRDefault="00417C85" w:rsidP="00417C85">
      <w:pPr>
        <w:pStyle w:val="En-tte"/>
        <w:tabs>
          <w:tab w:val="clear" w:pos="4320"/>
          <w:tab w:val="clear" w:pos="8640"/>
        </w:tabs>
        <w:ind w:firstLine="720"/>
        <w:rPr>
          <w:rFonts w:ascii="Segoe" w:hAnsi="Segoe"/>
          <w:b/>
          <w:bCs/>
          <w:sz w:val="22"/>
          <w:szCs w:val="22"/>
        </w:rPr>
      </w:pPr>
      <w:r w:rsidRPr="000A1910">
        <w:rPr>
          <w:rFonts w:ascii="Segoe" w:hAnsi="Segoe"/>
          <w:sz w:val="22"/>
          <w:szCs w:val="22"/>
        </w:rPr>
        <w:t xml:space="preserve">Domaine : </w:t>
      </w:r>
      <w:r>
        <w:rPr>
          <w:rFonts w:ascii="Segoe" w:hAnsi="Segoe"/>
          <w:b/>
          <w:bCs/>
          <w:sz w:val="22"/>
          <w:szCs w:val="22"/>
        </w:rPr>
        <w:t>Élèves</w:t>
      </w:r>
    </w:p>
    <w:p w14:paraId="3D07BB06" w14:textId="77777777" w:rsidR="00417C85" w:rsidRPr="000A1910" w:rsidRDefault="00417C85" w:rsidP="00417C85">
      <w:pPr>
        <w:pStyle w:val="En-tte"/>
        <w:tabs>
          <w:tab w:val="clear" w:pos="4320"/>
          <w:tab w:val="clear" w:pos="8640"/>
        </w:tabs>
        <w:ind w:left="720" w:right="720"/>
        <w:rPr>
          <w:rFonts w:ascii="Segoe" w:hAnsi="Segoe"/>
          <w:sz w:val="22"/>
          <w:szCs w:val="22"/>
        </w:rPr>
      </w:pPr>
      <w:r w:rsidRPr="000A1910">
        <w:rPr>
          <w:rFonts w:ascii="Segoe" w:hAnsi="Segoe"/>
          <w:sz w:val="22"/>
          <w:szCs w:val="22"/>
        </w:rPr>
        <w:t xml:space="preserve">Politique : </w:t>
      </w:r>
    </w:p>
    <w:p w14:paraId="59EEC998" w14:textId="77777777" w:rsidR="00417C85" w:rsidRDefault="00417C85" w:rsidP="00417C85">
      <w:pPr>
        <w:pStyle w:val="En-tte"/>
        <w:tabs>
          <w:tab w:val="clear" w:pos="4320"/>
          <w:tab w:val="clear" w:pos="8640"/>
        </w:tabs>
        <w:ind w:right="720" w:firstLine="720"/>
        <w:jc w:val="right"/>
        <w:rPr>
          <w:rFonts w:ascii="Segoe" w:hAnsi="Segoe"/>
          <w:sz w:val="16"/>
          <w:szCs w:val="16"/>
        </w:rPr>
      </w:pPr>
      <w:r>
        <w:rPr>
          <w:rFonts w:ascii="Segoe" w:hAnsi="Segoe"/>
          <w:sz w:val="16"/>
          <w:szCs w:val="16"/>
        </w:rPr>
        <w:t>En vigueur le 2 juin 2014 (CF)</w:t>
      </w:r>
    </w:p>
    <w:p w14:paraId="1DE3ED8B" w14:textId="38B8B724" w:rsidR="00417C85" w:rsidRPr="000A1910" w:rsidRDefault="00417C85" w:rsidP="00417C85">
      <w:pPr>
        <w:pStyle w:val="En-tte"/>
        <w:pBdr>
          <w:bottom w:val="single" w:sz="4" w:space="1" w:color="auto"/>
        </w:pBdr>
        <w:tabs>
          <w:tab w:val="clear" w:pos="4320"/>
          <w:tab w:val="clear" w:pos="8640"/>
        </w:tabs>
        <w:ind w:left="720" w:right="720"/>
        <w:jc w:val="right"/>
        <w:rPr>
          <w:rFonts w:ascii="Segoe" w:hAnsi="Segoe"/>
          <w:sz w:val="16"/>
          <w:szCs w:val="16"/>
        </w:rPr>
      </w:pPr>
      <w:r>
        <w:rPr>
          <w:rFonts w:ascii="Segoe" w:hAnsi="Segoe"/>
          <w:sz w:val="16"/>
          <w:szCs w:val="16"/>
        </w:rPr>
        <w:t>Révisée le 30 septembre 2019 (CF</w:t>
      </w:r>
      <w:r w:rsidRPr="000A1910">
        <w:rPr>
          <w:rFonts w:ascii="Segoe" w:hAnsi="Segoe"/>
          <w:sz w:val="16"/>
          <w:szCs w:val="16"/>
        </w:rPr>
        <w:t>)</w:t>
      </w:r>
    </w:p>
    <w:p w14:paraId="4C1CB474" w14:textId="77777777" w:rsidR="00417C85" w:rsidRPr="000A1910" w:rsidRDefault="00417C85" w:rsidP="00417C85">
      <w:pPr>
        <w:pStyle w:val="En-tte"/>
        <w:tabs>
          <w:tab w:val="clear" w:pos="4320"/>
          <w:tab w:val="clear" w:pos="8640"/>
        </w:tabs>
        <w:ind w:firstLine="720"/>
        <w:rPr>
          <w:rFonts w:ascii="Segoe UI" w:hAnsi="Segoe UI" w:cs="Segoe UI"/>
          <w:bCs/>
          <w:i/>
          <w:iCs/>
          <w:sz w:val="18"/>
          <w:szCs w:val="18"/>
        </w:rPr>
      </w:pPr>
      <w:r w:rsidRPr="000A1910">
        <w:rPr>
          <w:rFonts w:ascii="Segoe UI" w:hAnsi="Segoe UI" w:cs="Segoe UI"/>
          <w:bCs/>
          <w:i/>
          <w:iCs/>
          <w:sz w:val="18"/>
          <w:szCs w:val="18"/>
        </w:rPr>
        <w:t>L’usage du masculin a pour but d’alléger le texte.</w:t>
      </w:r>
    </w:p>
    <w:bookmarkEnd w:id="0"/>
    <w:bookmarkEnd w:id="1"/>
    <w:bookmarkEnd w:id="2"/>
    <w:bookmarkEnd w:id="3"/>
    <w:bookmarkEnd w:id="4"/>
    <w:p w14:paraId="21A7241B" w14:textId="4A888898" w:rsidR="00CD07DC" w:rsidRPr="00417C85" w:rsidRDefault="00417C85" w:rsidP="00417C85">
      <w:pPr>
        <w:pStyle w:val="Titre1"/>
      </w:pPr>
      <w:r w:rsidRPr="00417C85">
        <w:t>Frais liés au matériel et aux activités d’apprentissage</w:t>
      </w:r>
    </w:p>
    <w:p w14:paraId="5E1C9C4D" w14:textId="77777777" w:rsidR="00417C85" w:rsidRPr="00417C85" w:rsidRDefault="00417C85" w:rsidP="00417C85">
      <w:pPr>
        <w:pStyle w:val="Sous-titre"/>
      </w:pPr>
      <w:r w:rsidRPr="00417C85">
        <w:t>Énoncé</w:t>
      </w:r>
    </w:p>
    <w:p w14:paraId="1B369F1B" w14:textId="1740FD28" w:rsidR="00CA6B5F" w:rsidRPr="00417C85" w:rsidRDefault="00CA6B5F" w:rsidP="00417C85">
      <w:pPr>
        <w:tabs>
          <w:tab w:val="left" w:pos="1080"/>
        </w:tabs>
        <w:ind w:left="1080" w:right="720"/>
        <w:rPr>
          <w:rFonts w:ascii="Segoe Pro" w:hAnsi="Segoe Pro" w:cs="Arial"/>
          <w:sz w:val="22"/>
          <w:szCs w:val="20"/>
        </w:rPr>
      </w:pPr>
      <w:r w:rsidRPr="00417C85">
        <w:rPr>
          <w:rFonts w:ascii="Segoe Pro" w:hAnsi="Segoe Pro" w:cs="Arial"/>
          <w:sz w:val="22"/>
          <w:szCs w:val="20"/>
        </w:rPr>
        <w:t>Le Conseil scolaire catholique Nouvel</w:t>
      </w:r>
      <w:r w:rsidR="00151E89" w:rsidRPr="00417C85">
        <w:rPr>
          <w:rFonts w:ascii="Segoe Pro" w:hAnsi="Segoe Pro" w:cs="Arial"/>
          <w:sz w:val="22"/>
          <w:szCs w:val="20"/>
        </w:rPr>
        <w:t>on</w:t>
      </w:r>
      <w:r w:rsidRPr="00417C85">
        <w:rPr>
          <w:rFonts w:ascii="Segoe Pro" w:hAnsi="Segoe Pro" w:cs="Arial"/>
          <w:sz w:val="22"/>
          <w:szCs w:val="20"/>
        </w:rPr>
        <w:t xml:space="preserve"> (le Conseil) croit qu’il est important d’offrir</w:t>
      </w:r>
      <w:r w:rsidR="0004754C" w:rsidRPr="00417C85">
        <w:rPr>
          <w:rFonts w:ascii="Segoe Pro" w:hAnsi="Segoe Pro" w:cs="Arial"/>
          <w:sz w:val="22"/>
          <w:szCs w:val="20"/>
        </w:rPr>
        <w:t xml:space="preserve"> à tous les élèves </w:t>
      </w:r>
      <w:r w:rsidRPr="00417C85">
        <w:rPr>
          <w:rFonts w:ascii="Segoe Pro" w:hAnsi="Segoe Pro" w:cs="Arial"/>
          <w:sz w:val="22"/>
          <w:szCs w:val="20"/>
        </w:rPr>
        <w:t>un milieu scolaire qui favorise</w:t>
      </w:r>
      <w:r w:rsidR="0004754C" w:rsidRPr="00417C85">
        <w:rPr>
          <w:rFonts w:ascii="Segoe Pro" w:hAnsi="Segoe Pro" w:cs="Arial"/>
          <w:sz w:val="22"/>
          <w:szCs w:val="20"/>
        </w:rPr>
        <w:t xml:space="preserve"> leur</w:t>
      </w:r>
      <w:r w:rsidR="005541CA" w:rsidRPr="00417C85">
        <w:rPr>
          <w:rFonts w:ascii="Segoe Pro" w:hAnsi="Segoe Pro" w:cs="Arial"/>
          <w:sz w:val="22"/>
          <w:szCs w:val="20"/>
        </w:rPr>
        <w:t xml:space="preserve"> </w:t>
      </w:r>
      <w:r w:rsidRPr="00417C85">
        <w:rPr>
          <w:rFonts w:ascii="Segoe Pro" w:hAnsi="Segoe Pro" w:cs="Arial"/>
          <w:sz w:val="22"/>
          <w:szCs w:val="20"/>
        </w:rPr>
        <w:t>apprentissage et</w:t>
      </w:r>
      <w:r w:rsidR="0004754C" w:rsidRPr="00417C85">
        <w:rPr>
          <w:rFonts w:ascii="Segoe Pro" w:hAnsi="Segoe Pro" w:cs="Arial"/>
          <w:sz w:val="22"/>
          <w:szCs w:val="20"/>
        </w:rPr>
        <w:t xml:space="preserve"> leur</w:t>
      </w:r>
      <w:r w:rsidRPr="00417C85">
        <w:rPr>
          <w:rFonts w:ascii="Segoe Pro" w:hAnsi="Segoe Pro" w:cs="Arial"/>
          <w:sz w:val="22"/>
          <w:szCs w:val="20"/>
        </w:rPr>
        <w:t xml:space="preserve"> réussite</w:t>
      </w:r>
      <w:r w:rsidR="0004754C" w:rsidRPr="00417C85">
        <w:rPr>
          <w:rFonts w:ascii="Segoe Pro" w:hAnsi="Segoe Pro" w:cs="Arial"/>
          <w:sz w:val="22"/>
          <w:szCs w:val="20"/>
        </w:rPr>
        <w:t>.</w:t>
      </w:r>
      <w:r w:rsidRPr="00417C85">
        <w:rPr>
          <w:rFonts w:ascii="Segoe Pro" w:hAnsi="Segoe Pro" w:cs="Arial"/>
          <w:sz w:val="22"/>
          <w:szCs w:val="20"/>
        </w:rPr>
        <w:t xml:space="preserve"> </w:t>
      </w:r>
      <w:r w:rsidR="0004754C" w:rsidRPr="00417C85">
        <w:rPr>
          <w:rFonts w:ascii="Segoe Pro" w:hAnsi="Segoe Pro" w:cs="Arial"/>
          <w:sz w:val="22"/>
          <w:szCs w:val="20"/>
        </w:rPr>
        <w:t>L</w:t>
      </w:r>
      <w:r w:rsidRPr="00417C85">
        <w:rPr>
          <w:rFonts w:ascii="Segoe Pro" w:hAnsi="Segoe Pro" w:cs="Arial"/>
          <w:sz w:val="22"/>
          <w:szCs w:val="20"/>
        </w:rPr>
        <w:t>es élèves devraient être en mesure de participer à tous les aspects de la vie scolaire indépendamment de barrières économiques personnelles.</w:t>
      </w:r>
    </w:p>
    <w:p w14:paraId="1B8E0720" w14:textId="77777777" w:rsidR="00417C85" w:rsidRPr="00417C85" w:rsidRDefault="00417C85" w:rsidP="00417C85">
      <w:pPr>
        <w:pStyle w:val="Sous-titre"/>
      </w:pPr>
      <w:r w:rsidRPr="00417C85">
        <w:t>Principes directeurs</w:t>
      </w:r>
    </w:p>
    <w:p w14:paraId="1EAF8E4B" w14:textId="77777777" w:rsidR="00CA6B5F" w:rsidRPr="00417C85" w:rsidRDefault="00CA6B5F" w:rsidP="00417C85">
      <w:pPr>
        <w:pStyle w:val="Listeniveau2"/>
      </w:pPr>
      <w:r w:rsidRPr="00417C85">
        <w:t xml:space="preserve">Le Conseil n’impose </w:t>
      </w:r>
      <w:r w:rsidR="003F3A2A" w:rsidRPr="00417C85">
        <w:t>aucuns</w:t>
      </w:r>
      <w:r w:rsidRPr="00417C85">
        <w:t xml:space="preserve"> frais pour les programmes de jour répondant aux attentes du curriculum.</w:t>
      </w:r>
    </w:p>
    <w:p w14:paraId="261BB966" w14:textId="6D97A89F" w:rsidR="00CA6B5F" w:rsidRPr="00417C85" w:rsidRDefault="00CA6B5F" w:rsidP="00417C85">
      <w:pPr>
        <w:pStyle w:val="Listeniveau2"/>
      </w:pPr>
      <w:r w:rsidRPr="00417C85">
        <w:t xml:space="preserve">Les </w:t>
      </w:r>
      <w:r w:rsidR="0004754C" w:rsidRPr="00417C85">
        <w:t xml:space="preserve">fonds </w:t>
      </w:r>
      <w:r w:rsidRPr="00417C85">
        <w:t xml:space="preserve">servant à couvrir les frais liés aux activités et au matériel destinés à l’éducation élémentaire et secondaire sont fournis aux écoles par le biais de leurs budgets annuels.  L’annexe </w:t>
      </w:r>
      <w:hyperlink r:id="rId8" w:tooltip="Matériel à fournir aux élèves – palier élémentaire " w:history="1">
        <w:r w:rsidR="001E598E" w:rsidRPr="00417C85">
          <w:rPr>
            <w:rStyle w:val="Lienhypertexte"/>
            <w:i/>
          </w:rPr>
          <w:t>ÉLV 3.26</w:t>
        </w:r>
        <w:r w:rsidRPr="00417C85">
          <w:rPr>
            <w:rStyle w:val="Lienhypertexte"/>
            <w:i/>
          </w:rPr>
          <w:t>.1 Matériel à fournir aux élèves</w:t>
        </w:r>
        <w:r w:rsidR="00414A8C" w:rsidRPr="00417C85">
          <w:rPr>
            <w:rStyle w:val="Lienhypertexte"/>
            <w:i/>
          </w:rPr>
          <w:t xml:space="preserve"> – palier élémentaire</w:t>
        </w:r>
      </w:hyperlink>
      <w:r w:rsidRPr="00417C85">
        <w:t xml:space="preserve"> énumère le matériel de base </w:t>
      </w:r>
      <w:r w:rsidR="0004754C" w:rsidRPr="00417C85">
        <w:t xml:space="preserve">que l’école doit </w:t>
      </w:r>
      <w:r w:rsidRPr="00417C85">
        <w:t>fourni</w:t>
      </w:r>
      <w:r w:rsidR="0004754C" w:rsidRPr="00417C85">
        <w:t>r</w:t>
      </w:r>
      <w:r w:rsidRPr="00417C85">
        <w:t xml:space="preserve"> à chaque élève en début d’année scolaire.</w:t>
      </w:r>
      <w:r w:rsidR="0004754C" w:rsidRPr="00417C85">
        <w:t xml:space="preserve"> </w:t>
      </w:r>
    </w:p>
    <w:p w14:paraId="08742468" w14:textId="77777777" w:rsidR="00CA6B5F" w:rsidRPr="00417C85" w:rsidRDefault="00CA6B5F" w:rsidP="00417C85">
      <w:pPr>
        <w:pStyle w:val="Listeniveau2"/>
      </w:pPr>
      <w:r w:rsidRPr="00417C85">
        <w:t>Le recouvrement des frais liés au remplacement</w:t>
      </w:r>
      <w:r w:rsidR="0004754C" w:rsidRPr="00417C85">
        <w:t xml:space="preserve"> de matériel perdu</w:t>
      </w:r>
      <w:r w:rsidRPr="00417C85">
        <w:t xml:space="preserve"> ou à la réparation de matériel endommagé tel que les manuels scolaires, les livres de bibliothèque, les fournitures de cours de musique ou de sciences ou tout autre matériel prêté peut être exigé.  Le recouvrement ne doit pas excéder le coût de remplacement ou de réparation.</w:t>
      </w:r>
    </w:p>
    <w:p w14:paraId="64F77EA5" w14:textId="77777777" w:rsidR="00CA6B5F" w:rsidRPr="00417C85" w:rsidRDefault="00CA6B5F" w:rsidP="00417C85">
      <w:pPr>
        <w:pStyle w:val="Listeniveau2"/>
      </w:pPr>
      <w:r w:rsidRPr="00417C85">
        <w:t xml:space="preserve">Lorsqu’une école décide, </w:t>
      </w:r>
      <w:r w:rsidR="005541CA" w:rsidRPr="00417C85">
        <w:t xml:space="preserve">en consultation </w:t>
      </w:r>
      <w:r w:rsidR="00B277F4" w:rsidRPr="00417C85">
        <w:t>avec le conseil d’éducation catholique (</w:t>
      </w:r>
      <w:r w:rsidR="005541CA" w:rsidRPr="00417C85">
        <w:t>CÉC</w:t>
      </w:r>
      <w:r w:rsidR="00B277F4" w:rsidRPr="00417C85">
        <w:t>)</w:t>
      </w:r>
      <w:r w:rsidRPr="00417C85">
        <w:t>, d’offrir des activités ou des programmes enrichis ou facultatifs, il est possible que les parents soient sollicités afin de fournir de leur temps, de l’argent ou du matériel pour soutenir ces programmes ou activités</w:t>
      </w:r>
      <w:r w:rsidR="0004754C" w:rsidRPr="00417C85">
        <w:t xml:space="preserve"> (p. ex. : sciences enrichies, équipe</w:t>
      </w:r>
      <w:r w:rsidR="00B277F4" w:rsidRPr="00417C85">
        <w:t>s</w:t>
      </w:r>
      <w:r w:rsidR="0004754C" w:rsidRPr="00417C85">
        <w:t xml:space="preserve"> sportives)</w:t>
      </w:r>
      <w:r w:rsidRPr="00417C85">
        <w:t>.</w:t>
      </w:r>
    </w:p>
    <w:p w14:paraId="11A99DE4" w14:textId="77777777" w:rsidR="00CA6B5F" w:rsidRPr="00417C85" w:rsidRDefault="00CA6B5F" w:rsidP="00417C85">
      <w:pPr>
        <w:pStyle w:val="Listeniveau2"/>
      </w:pPr>
      <w:r w:rsidRPr="00417C85">
        <w:t>L’imposition des frais peut aussi être appropriée si le Conseil ou l’école décide d’offrir du matériel complémentaire à celui du programme</w:t>
      </w:r>
      <w:r w:rsidR="00B277F4" w:rsidRPr="00417C85">
        <w:t xml:space="preserve"> scolaire</w:t>
      </w:r>
      <w:r w:rsidRPr="00417C85">
        <w:t xml:space="preserve"> de base.</w:t>
      </w:r>
    </w:p>
    <w:p w14:paraId="3DBD239C" w14:textId="7C66A719" w:rsidR="00417C85" w:rsidRPr="00417C85" w:rsidRDefault="00B277F4" w:rsidP="00417C85">
      <w:pPr>
        <w:pStyle w:val="Listeniveau2"/>
      </w:pPr>
      <w:r w:rsidRPr="00417C85">
        <w:t>Lorsque l’école et/ou le Conseil impose des</w:t>
      </w:r>
      <w:r w:rsidR="00CA6B5F" w:rsidRPr="00417C85">
        <w:t xml:space="preserve"> frais, ceux-ci doivent être réduits autant que possible afin que tous les élèves puissent participer aux programmes et aux activités, quelle que soit leur situation financière.</w:t>
      </w:r>
      <w:r w:rsidR="00417C85">
        <w:br w:type="page"/>
      </w:r>
    </w:p>
    <w:p w14:paraId="0E051867" w14:textId="77777777" w:rsidR="00417C85" w:rsidRPr="00417C85" w:rsidRDefault="00417C85" w:rsidP="00417C85">
      <w:pPr>
        <w:pStyle w:val="Sous-titre"/>
      </w:pPr>
      <w:r w:rsidRPr="00417C85">
        <w:lastRenderedPageBreak/>
        <w:t>Définitions</w:t>
      </w:r>
    </w:p>
    <w:p w14:paraId="70AC1AEE" w14:textId="77777777" w:rsidR="00CA6B5F" w:rsidRPr="00417C85" w:rsidRDefault="00CA6B5F" w:rsidP="00417C85">
      <w:pPr>
        <w:pStyle w:val="Listeniveau2"/>
      </w:pPr>
      <w:r w:rsidRPr="00417C85">
        <w:rPr>
          <w:b/>
        </w:rPr>
        <w:t>Frais relatifs aux activités des élèves</w:t>
      </w:r>
      <w:r w:rsidR="00151E89" w:rsidRPr="00417C85">
        <w:t xml:space="preserve"> : </w:t>
      </w:r>
      <w:r w:rsidRPr="00417C85">
        <w:t>Les frais relatifs aux activités des élèves sont des montants versés volontairement par l’élève ou les parents, tuteurs ou tutrices, qui servent à améliorer l’expérience scolaire des élèves grâce à du matériel et à des activités comme des agendas, des programmes de reconnaissance, des annuaires, des activités parascolaires, des soirées dansantes ou des journées thématiques.</w:t>
      </w:r>
    </w:p>
    <w:p w14:paraId="1F2C310F" w14:textId="77777777" w:rsidR="0072663B" w:rsidRPr="00417C85" w:rsidRDefault="0072663B" w:rsidP="00417C85">
      <w:pPr>
        <w:pStyle w:val="Listeniveau2"/>
      </w:pPr>
      <w:r w:rsidRPr="00417C85">
        <w:rPr>
          <w:b/>
        </w:rPr>
        <w:t>Programmes</w:t>
      </w:r>
      <w:r w:rsidR="0004754C" w:rsidRPr="00417C85">
        <w:rPr>
          <w:b/>
        </w:rPr>
        <w:t xml:space="preserve"> enrichis</w:t>
      </w:r>
      <w:r w:rsidRPr="00417C85">
        <w:rPr>
          <w:b/>
        </w:rPr>
        <w:t xml:space="preserve"> et matériel </w:t>
      </w:r>
      <w:r w:rsidR="0004754C" w:rsidRPr="00417C85">
        <w:rPr>
          <w:b/>
        </w:rPr>
        <w:t>d</w:t>
      </w:r>
      <w:r w:rsidR="005541CA" w:rsidRPr="00417C85">
        <w:rPr>
          <w:b/>
        </w:rPr>
        <w:t>’apprentissage complémentaire</w:t>
      </w:r>
      <w:r w:rsidR="00151E89" w:rsidRPr="00417C85">
        <w:t xml:space="preserve"> : </w:t>
      </w:r>
      <w:r w:rsidRPr="00417C85">
        <w:t>Les programmes</w:t>
      </w:r>
      <w:r w:rsidR="0004754C" w:rsidRPr="00417C85">
        <w:t xml:space="preserve"> enrichis</w:t>
      </w:r>
      <w:r w:rsidRPr="00417C85">
        <w:t xml:space="preserve"> et le matériel</w:t>
      </w:r>
      <w:r w:rsidR="0004754C" w:rsidRPr="00417C85">
        <w:t xml:space="preserve"> </w:t>
      </w:r>
      <w:r w:rsidR="005541CA" w:rsidRPr="00417C85">
        <w:t xml:space="preserve">d’apprentissage complémentaire </w:t>
      </w:r>
      <w:r w:rsidRPr="00417C85">
        <w:t>servent à améliorer le curriculum ou les activités parallèles qui visent à dépasser les attentes d’apprentissage pour une année d’études ou un cours en particulier. Par exemple, pour certains cours d’interprétation artistique ou de production (comme la musique ou le travail du bois), si les élèves désirent utiliser des produits ou des biens consomptibles de qualité supérieure à ceux fournis par l’école, on peut leur demander de payer les coûts supplémentaires liés à cette bonification.</w:t>
      </w:r>
    </w:p>
    <w:p w14:paraId="535DB6C2" w14:textId="77777777" w:rsidR="0072663B" w:rsidRPr="00417C85" w:rsidRDefault="0072663B" w:rsidP="00417C85">
      <w:pPr>
        <w:pStyle w:val="Listeniveau2"/>
      </w:pPr>
      <w:r w:rsidRPr="00417C85">
        <w:rPr>
          <w:b/>
        </w:rPr>
        <w:t>Programmes facultatifs</w:t>
      </w:r>
      <w:r w:rsidR="00151E89" w:rsidRPr="00417C85">
        <w:t xml:space="preserve"> : </w:t>
      </w:r>
      <w:r w:rsidRPr="00417C85">
        <w:t>Les programmes facultatifs sont des activités ou des cours choisis librement pour lesquels les élèves doivent normalement se soumettre à un processus de demande, tout en étant conscients qu’il s’agit de programmes dont le contenu va au-delà de celui du curriculum de base</w:t>
      </w:r>
      <w:r w:rsidR="00431CD7" w:rsidRPr="00417C85">
        <w:t>; p</w:t>
      </w:r>
      <w:r w:rsidR="00CE6B12" w:rsidRPr="00417C85">
        <w:t>ar exempl</w:t>
      </w:r>
      <w:r w:rsidRPr="00417C85">
        <w:t>e</w:t>
      </w:r>
      <w:r w:rsidR="00FE7234" w:rsidRPr="00417C85">
        <w:t> : Majeure haute spécialisation (MHS)</w:t>
      </w:r>
      <w:r w:rsidR="00CE6B12" w:rsidRPr="00417C85">
        <w:t>.</w:t>
      </w:r>
      <w:r w:rsidRPr="00417C85">
        <w:t xml:space="preserve"> </w:t>
      </w:r>
    </w:p>
    <w:p w14:paraId="1ECC686E" w14:textId="68AAF491" w:rsidR="00CA6B5F" w:rsidRPr="00417C85" w:rsidRDefault="00417C85" w:rsidP="00417C85">
      <w:pPr>
        <w:pStyle w:val="Sous-titre"/>
      </w:pPr>
      <w:r w:rsidRPr="00417C85">
        <w:t>Imposition des frais</w:t>
      </w:r>
    </w:p>
    <w:p w14:paraId="7B2ABC02" w14:textId="4E87EBEE" w:rsidR="00151E89" w:rsidRPr="00417C85" w:rsidRDefault="00251FDD" w:rsidP="00417C85">
      <w:pPr>
        <w:pStyle w:val="Listeniveau2"/>
      </w:pPr>
      <w:r w:rsidRPr="00417C85">
        <w:t xml:space="preserve">Pour déterminer s’il est approprié d’imposer des frais liés au matériel et aux activités d’apprentissage, les </w:t>
      </w:r>
      <w:r w:rsidR="003F3A2A" w:rsidRPr="00417C85">
        <w:t>critères</w:t>
      </w:r>
      <w:r w:rsidRPr="00417C85">
        <w:t xml:space="preserve"> ci-dessous peuvent être pris en considération.  Il est acceptable d’imposer des frais pour un événement, du matériel, un cours ou un programme :</w:t>
      </w:r>
    </w:p>
    <w:p w14:paraId="317B9662" w14:textId="77777777" w:rsidR="00251FDD" w:rsidRPr="00417C85" w:rsidRDefault="00251FDD" w:rsidP="00417C85">
      <w:pPr>
        <w:pStyle w:val="Listeniveau3"/>
      </w:pPr>
      <w:r w:rsidRPr="00417C85">
        <w:t>qui n’est pas obligatoire dans le cadre du programme régulier de jour;</w:t>
      </w:r>
    </w:p>
    <w:p w14:paraId="6D44F89A" w14:textId="77777777" w:rsidR="00251FDD" w:rsidRPr="00417C85" w:rsidRDefault="00251FDD" w:rsidP="00417C85">
      <w:pPr>
        <w:pStyle w:val="Listeniveau3"/>
      </w:pPr>
      <w:r w:rsidRPr="00417C85">
        <w:t>qui est facultatif et qui offre d’autres possibilités aux élèves;</w:t>
      </w:r>
      <w:r w:rsidR="0004754C" w:rsidRPr="00417C85">
        <w:t xml:space="preserve"> </w:t>
      </w:r>
    </w:p>
    <w:p w14:paraId="0A022555" w14:textId="77777777" w:rsidR="00251FDD" w:rsidRPr="00417C85" w:rsidRDefault="00251FDD" w:rsidP="00417C85">
      <w:pPr>
        <w:pStyle w:val="Listeniveau3"/>
      </w:pPr>
      <w:r w:rsidRPr="00417C85">
        <w:t>qui n’est pas essentiel, mais plutôt de nature parascolaire, et n’est pas nécessairement à l’obtention d’un diplôme;</w:t>
      </w:r>
      <w:r w:rsidR="0004754C" w:rsidRPr="00417C85">
        <w:t xml:space="preserve"> </w:t>
      </w:r>
    </w:p>
    <w:p w14:paraId="0F5EEB40" w14:textId="77777777" w:rsidR="00251FDD" w:rsidRPr="00417C85" w:rsidRDefault="00251FDD" w:rsidP="00417C85">
      <w:pPr>
        <w:pStyle w:val="Listeniveau3"/>
      </w:pPr>
      <w:r w:rsidRPr="00417C85">
        <w:t>qui constitue une amélioration ou un substitut facultatif, dont le coût est plus élevé, au matériel fourni pour les besoins du cours.</w:t>
      </w:r>
    </w:p>
    <w:p w14:paraId="39E745E4" w14:textId="091D2581" w:rsidR="00251FDD" w:rsidRPr="00417C85" w:rsidRDefault="001E598E" w:rsidP="00417C85">
      <w:pPr>
        <w:pStyle w:val="Listeniveau2"/>
      </w:pPr>
      <w:r w:rsidRPr="00417C85">
        <w:t>L’A</w:t>
      </w:r>
      <w:r w:rsidR="00251FDD" w:rsidRPr="00417C85">
        <w:t xml:space="preserve">nnexe </w:t>
      </w:r>
      <w:hyperlink r:id="rId9" w:tooltip="Matériel à fournir aux élèves – palier secondaire " w:history="1">
        <w:r w:rsidRPr="00417C85">
          <w:rPr>
            <w:rStyle w:val="Lienhypertexte"/>
            <w:i/>
          </w:rPr>
          <w:t xml:space="preserve">ÉLV 3.26.2 </w:t>
        </w:r>
        <w:r w:rsidR="00414A8C" w:rsidRPr="00417C85">
          <w:rPr>
            <w:rStyle w:val="Lienhypertexte"/>
            <w:i/>
          </w:rPr>
          <w:t>Matériel à fournir aux élèves – palier secondaire</w:t>
        </w:r>
      </w:hyperlink>
      <w:r w:rsidR="00251FDD" w:rsidRPr="00417C85">
        <w:t xml:space="preserve"> donne des exemples d’activités, de programmes ou de matériel pour lesquels l’imposition de frais est admissible ou inadmissible.</w:t>
      </w:r>
    </w:p>
    <w:p w14:paraId="2544F3B3" w14:textId="77777777" w:rsidR="00B333CC" w:rsidRPr="00417C85" w:rsidRDefault="00251FDD" w:rsidP="00417C85">
      <w:pPr>
        <w:pStyle w:val="Listeniveau2"/>
      </w:pPr>
      <w:r w:rsidRPr="00417C85">
        <w:rPr>
          <w:b/>
        </w:rPr>
        <w:t>Reddition de compte envers le milieu</w:t>
      </w:r>
      <w:r w:rsidR="00151E89" w:rsidRPr="00417C85">
        <w:rPr>
          <w:b/>
        </w:rPr>
        <w:t> :</w:t>
      </w:r>
    </w:p>
    <w:p w14:paraId="522DEE64" w14:textId="7593D3CE" w:rsidR="00251FDD" w:rsidRPr="00417C85" w:rsidRDefault="0095513F" w:rsidP="00417C85">
      <w:pPr>
        <w:pStyle w:val="Listeniveau3"/>
      </w:pPr>
      <w:r w:rsidRPr="00417C85">
        <w:t xml:space="preserve">Les frais exigés doivent refléter le coût réel du matériel, de l’activité ou </w:t>
      </w:r>
      <w:r w:rsidR="0018698B" w:rsidRPr="00417C85">
        <w:t xml:space="preserve">des services rendus.  La comptabilisation des frais </w:t>
      </w:r>
      <w:r w:rsidRPr="00417C85">
        <w:t xml:space="preserve">doit être </w:t>
      </w:r>
      <w:r w:rsidR="0018698B" w:rsidRPr="00417C85">
        <w:t xml:space="preserve">respectée </w:t>
      </w:r>
      <w:r w:rsidRPr="00417C85">
        <w:t>selon l</w:t>
      </w:r>
      <w:r w:rsidR="00431CD7" w:rsidRPr="00417C85">
        <w:t>a</w:t>
      </w:r>
      <w:r w:rsidRPr="00417C85">
        <w:t xml:space="preserve"> directive</w:t>
      </w:r>
      <w:r w:rsidR="00431CD7" w:rsidRPr="00417C85">
        <w:t xml:space="preserve"> administrative </w:t>
      </w:r>
      <w:hyperlink r:id="rId10" w:tooltip="Directive administrative d'achats de biens et de services" w:history="1">
        <w:r w:rsidR="00431CD7" w:rsidRPr="00281D9E">
          <w:rPr>
            <w:rStyle w:val="Lienhypertexte"/>
            <w:i/>
          </w:rPr>
          <w:t>ADM 3.</w:t>
        </w:r>
        <w:r w:rsidR="00281D9E" w:rsidRPr="00281D9E">
          <w:rPr>
            <w:rStyle w:val="Lienhypertexte"/>
            <w:i/>
          </w:rPr>
          <w:t>11 Achats de biens et de services</w:t>
        </w:r>
      </w:hyperlink>
      <w:r w:rsidRPr="00417C85">
        <w:t>.</w:t>
      </w:r>
    </w:p>
    <w:p w14:paraId="17B1142C" w14:textId="77777777" w:rsidR="0095513F" w:rsidRPr="00417C85" w:rsidRDefault="0095513F" w:rsidP="00417C85">
      <w:pPr>
        <w:pStyle w:val="Listeniveau3"/>
      </w:pPr>
      <w:r w:rsidRPr="00417C85">
        <w:t xml:space="preserve">Des rapports doivent être présentés </w:t>
      </w:r>
      <w:r w:rsidR="007B1DE4" w:rsidRPr="00417C85">
        <w:t xml:space="preserve">au CÉC </w:t>
      </w:r>
      <w:r w:rsidRPr="00417C85">
        <w:t>en ce qui a trait aux montants recueillis et aux dépenses engagées, et ce de manière transparente</w:t>
      </w:r>
      <w:r w:rsidR="00181FE9" w:rsidRPr="00417C85">
        <w:t xml:space="preserve"> par l’entremise du site web de l’école</w:t>
      </w:r>
      <w:r w:rsidRPr="00417C85">
        <w:t>.</w:t>
      </w:r>
      <w:r w:rsidR="0018698B" w:rsidRPr="00417C85">
        <w:t xml:space="preserve">  </w:t>
      </w:r>
    </w:p>
    <w:p w14:paraId="145F41E2" w14:textId="77777777" w:rsidR="0095513F" w:rsidRPr="00417C85" w:rsidRDefault="007B1DE4" w:rsidP="00417C85">
      <w:pPr>
        <w:pStyle w:val="Listeniveau3"/>
      </w:pPr>
      <w:r w:rsidRPr="00417C85">
        <w:t xml:space="preserve">Le conseil d’éducation catholique (CÉC) </w:t>
      </w:r>
      <w:r w:rsidR="0095513F" w:rsidRPr="00417C85">
        <w:t>doit être consulté</w:t>
      </w:r>
      <w:r w:rsidRPr="00417C85">
        <w:t xml:space="preserve"> quant aux</w:t>
      </w:r>
      <w:r w:rsidR="0095513F" w:rsidRPr="00417C85">
        <w:t xml:space="preserve"> frais liés au matériel et aux activités d’apprentissage d’une école.  Ces frais peuvent </w:t>
      </w:r>
      <w:r w:rsidRPr="00417C85">
        <w:t xml:space="preserve">être partagés par l’entremise des calendriers mensuels ou de communiqués ou de </w:t>
      </w:r>
      <w:r w:rsidR="0095513F" w:rsidRPr="00417C85">
        <w:t xml:space="preserve">l’agenda des élèves ou </w:t>
      </w:r>
      <w:r w:rsidRPr="00417C85">
        <w:t>du</w:t>
      </w:r>
      <w:r w:rsidR="0095513F" w:rsidRPr="00417C85">
        <w:t xml:space="preserve"> site Web de l’école.</w:t>
      </w:r>
    </w:p>
    <w:p w14:paraId="33DF4682" w14:textId="77777777" w:rsidR="0095513F" w:rsidRPr="00417C85" w:rsidRDefault="0095513F" w:rsidP="00417C85">
      <w:pPr>
        <w:pStyle w:val="Listeniveau3"/>
      </w:pPr>
      <w:r w:rsidRPr="00417C85">
        <w:t>L’école doit mettre en place un processus de perception</w:t>
      </w:r>
      <w:r w:rsidR="0018698B" w:rsidRPr="00417C85">
        <w:t xml:space="preserve"> </w:t>
      </w:r>
      <w:r w:rsidRPr="00417C85">
        <w:t xml:space="preserve">des frais qui respecte la dignité et confidentialité de chaque </w:t>
      </w:r>
      <w:r w:rsidR="00621CB4" w:rsidRPr="00417C85">
        <w:t xml:space="preserve">élève </w:t>
      </w:r>
      <w:r w:rsidRPr="00417C85">
        <w:t>et de chaque parent.</w:t>
      </w:r>
    </w:p>
    <w:p w14:paraId="0E5F69BB" w14:textId="4E5902EE" w:rsidR="00C32EAC" w:rsidRPr="00417C85" w:rsidRDefault="00417C85" w:rsidP="00417C85">
      <w:pPr>
        <w:pStyle w:val="Sous-titre"/>
      </w:pPr>
      <w:r w:rsidRPr="00417C85">
        <w:t>Référence</w:t>
      </w:r>
    </w:p>
    <w:p w14:paraId="135C4460" w14:textId="4F69F2DA" w:rsidR="0095513F" w:rsidRPr="00417C85" w:rsidRDefault="0005234D" w:rsidP="00417C85">
      <w:pPr>
        <w:pStyle w:val="Listeniveau2"/>
      </w:pPr>
      <w:hyperlink r:id="rId11" w:tooltip="Lignes directrices concernant les frais liés au matériel et aux activités d’apprentissage, 2011" w:history="1">
        <w:r w:rsidR="003F3A2A" w:rsidRPr="00417C85">
          <w:rPr>
            <w:rStyle w:val="Lienhypertexte"/>
          </w:rPr>
          <w:t>Lignes directrices concernant les frais liés au matériel et aux activités d’apprentissage, 2011</w:t>
        </w:r>
      </w:hyperlink>
    </w:p>
    <w:sectPr w:rsidR="0095513F" w:rsidRPr="00417C85" w:rsidSect="00417C85">
      <w:footerReference w:type="even" r:id="rId12"/>
      <w:footerReference w:type="default" r:id="rId13"/>
      <w:headerReference w:type="first" r:id="rId14"/>
      <w:footerReference w:type="first" r:id="rId15"/>
      <w:pgSz w:w="12240" w:h="15840"/>
      <w:pgMar w:top="63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C2D6" w14:textId="77777777" w:rsidR="005C6003" w:rsidRDefault="005C6003">
      <w:r>
        <w:separator/>
      </w:r>
    </w:p>
  </w:endnote>
  <w:endnote w:type="continuationSeparator" w:id="0">
    <w:p w14:paraId="354329BD" w14:textId="77777777" w:rsidR="005C6003" w:rsidRDefault="005C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o">
    <w:panose1 w:val="020B0502040504020203"/>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w:panose1 w:val="020B0502040200020203"/>
    <w:charset w:val="00"/>
    <w:family w:val="swiss"/>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A5B7" w14:textId="77777777" w:rsidR="00FD0C64" w:rsidRDefault="00FD0C64"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35251D" w14:textId="77777777" w:rsidR="00FD0C64" w:rsidRDefault="00FD0C64"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02D4" w14:textId="77777777" w:rsidR="00FD0C64" w:rsidRPr="00B333CC" w:rsidRDefault="001E598E" w:rsidP="00B333CC">
    <w:pPr>
      <w:pStyle w:val="Pieddepage"/>
      <w:tabs>
        <w:tab w:val="clear" w:pos="8640"/>
      </w:tabs>
      <w:ind w:right="720"/>
      <w:jc w:val="right"/>
      <w:rPr>
        <w:rFonts w:ascii="Segoe" w:hAnsi="Segoe"/>
        <w:sz w:val="18"/>
        <w:szCs w:val="18"/>
      </w:rPr>
    </w:pPr>
    <w:r w:rsidRPr="00B333CC">
      <w:rPr>
        <w:rFonts w:ascii="Segoe" w:hAnsi="Segoe"/>
        <w:sz w:val="18"/>
        <w:szCs w:val="18"/>
      </w:rPr>
      <w:t>ÉLV 3.26</w:t>
    </w:r>
  </w:p>
  <w:p w14:paraId="40953EEE" w14:textId="77777777" w:rsidR="00FD0C64" w:rsidRPr="00B333CC" w:rsidRDefault="00FD0C64" w:rsidP="00B333CC">
    <w:pPr>
      <w:pStyle w:val="Pieddepage"/>
      <w:tabs>
        <w:tab w:val="clear" w:pos="8640"/>
      </w:tabs>
      <w:ind w:right="720"/>
      <w:jc w:val="right"/>
      <w:rPr>
        <w:rFonts w:ascii="Segoe" w:hAnsi="Segoe"/>
        <w:sz w:val="18"/>
        <w:szCs w:val="18"/>
      </w:rPr>
    </w:pPr>
    <w:r w:rsidRPr="00B333CC">
      <w:rPr>
        <w:rFonts w:ascii="Segoe" w:hAnsi="Segoe"/>
        <w:sz w:val="18"/>
        <w:szCs w:val="18"/>
      </w:rPr>
      <w:t xml:space="preserve">Page </w:t>
    </w:r>
    <w:r w:rsidRPr="00B333CC">
      <w:rPr>
        <w:rFonts w:ascii="Segoe" w:hAnsi="Segoe"/>
        <w:sz w:val="18"/>
        <w:szCs w:val="18"/>
      </w:rPr>
      <w:fldChar w:fldCharType="begin"/>
    </w:r>
    <w:r w:rsidRPr="00B333CC">
      <w:rPr>
        <w:rFonts w:ascii="Segoe" w:hAnsi="Segoe"/>
        <w:sz w:val="18"/>
        <w:szCs w:val="18"/>
      </w:rPr>
      <w:instrText xml:space="preserve"> PAGE </w:instrText>
    </w:r>
    <w:r w:rsidRPr="00B333CC">
      <w:rPr>
        <w:rFonts w:ascii="Segoe" w:hAnsi="Segoe"/>
        <w:sz w:val="18"/>
        <w:szCs w:val="18"/>
      </w:rPr>
      <w:fldChar w:fldCharType="separate"/>
    </w:r>
    <w:r w:rsidR="00431CD7" w:rsidRPr="00B333CC">
      <w:rPr>
        <w:rFonts w:ascii="Segoe" w:hAnsi="Segoe"/>
        <w:noProof/>
        <w:sz w:val="18"/>
        <w:szCs w:val="18"/>
      </w:rPr>
      <w:t>1</w:t>
    </w:r>
    <w:r w:rsidRPr="00B333CC">
      <w:rPr>
        <w:rFonts w:ascii="Segoe" w:hAnsi="Segoe"/>
        <w:sz w:val="18"/>
        <w:szCs w:val="18"/>
      </w:rPr>
      <w:fldChar w:fldCharType="end"/>
    </w:r>
    <w:r w:rsidRPr="00B333CC">
      <w:rPr>
        <w:rFonts w:ascii="Segoe" w:hAnsi="Segoe"/>
        <w:sz w:val="18"/>
        <w:szCs w:val="18"/>
      </w:rPr>
      <w:t xml:space="preserve"> sur </w:t>
    </w:r>
    <w:r w:rsidRPr="00B333CC">
      <w:rPr>
        <w:rFonts w:ascii="Segoe" w:hAnsi="Segoe"/>
        <w:sz w:val="18"/>
        <w:szCs w:val="18"/>
      </w:rPr>
      <w:fldChar w:fldCharType="begin"/>
    </w:r>
    <w:r w:rsidRPr="00B333CC">
      <w:rPr>
        <w:rFonts w:ascii="Segoe" w:hAnsi="Segoe"/>
        <w:sz w:val="18"/>
        <w:szCs w:val="18"/>
      </w:rPr>
      <w:instrText xml:space="preserve"> NUMPAGES </w:instrText>
    </w:r>
    <w:r w:rsidRPr="00B333CC">
      <w:rPr>
        <w:rFonts w:ascii="Segoe" w:hAnsi="Segoe"/>
        <w:sz w:val="18"/>
        <w:szCs w:val="18"/>
      </w:rPr>
      <w:fldChar w:fldCharType="separate"/>
    </w:r>
    <w:r w:rsidR="00431CD7" w:rsidRPr="00B333CC">
      <w:rPr>
        <w:rFonts w:ascii="Segoe" w:hAnsi="Segoe"/>
        <w:noProof/>
        <w:sz w:val="18"/>
        <w:szCs w:val="18"/>
      </w:rPr>
      <w:t>3</w:t>
    </w:r>
    <w:r w:rsidRPr="00B333CC">
      <w:rPr>
        <w:rFonts w:ascii="Segoe" w:hAnsi="Sego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7886" w14:textId="77777777" w:rsidR="00417C85" w:rsidRPr="00B333CC" w:rsidRDefault="00417C85" w:rsidP="00417C85">
    <w:pPr>
      <w:pStyle w:val="Pieddepage"/>
      <w:tabs>
        <w:tab w:val="clear" w:pos="8640"/>
      </w:tabs>
      <w:ind w:right="720"/>
      <w:jc w:val="right"/>
      <w:rPr>
        <w:rFonts w:ascii="Segoe" w:hAnsi="Segoe"/>
        <w:sz w:val="18"/>
        <w:szCs w:val="18"/>
      </w:rPr>
    </w:pPr>
    <w:r w:rsidRPr="00B333CC">
      <w:rPr>
        <w:rFonts w:ascii="Segoe" w:hAnsi="Segoe"/>
        <w:sz w:val="18"/>
        <w:szCs w:val="18"/>
      </w:rPr>
      <w:t>ÉLV 3.26</w:t>
    </w:r>
  </w:p>
  <w:p w14:paraId="0A3D6A93" w14:textId="77777777" w:rsidR="00417C85" w:rsidRPr="00B333CC" w:rsidRDefault="00417C85" w:rsidP="00417C85">
    <w:pPr>
      <w:pStyle w:val="Pieddepage"/>
      <w:tabs>
        <w:tab w:val="clear" w:pos="8640"/>
      </w:tabs>
      <w:ind w:right="720"/>
      <w:jc w:val="right"/>
      <w:rPr>
        <w:rFonts w:ascii="Segoe" w:hAnsi="Segoe"/>
        <w:sz w:val="18"/>
        <w:szCs w:val="18"/>
      </w:rPr>
    </w:pPr>
    <w:r w:rsidRPr="00B333CC">
      <w:rPr>
        <w:rFonts w:ascii="Segoe" w:hAnsi="Segoe"/>
        <w:sz w:val="18"/>
        <w:szCs w:val="18"/>
      </w:rPr>
      <w:t xml:space="preserve">Page </w:t>
    </w:r>
    <w:r w:rsidRPr="00B333CC">
      <w:rPr>
        <w:rFonts w:ascii="Segoe" w:hAnsi="Segoe"/>
        <w:sz w:val="18"/>
        <w:szCs w:val="18"/>
      </w:rPr>
      <w:fldChar w:fldCharType="begin"/>
    </w:r>
    <w:r w:rsidRPr="00B333CC">
      <w:rPr>
        <w:rFonts w:ascii="Segoe" w:hAnsi="Segoe"/>
        <w:sz w:val="18"/>
        <w:szCs w:val="18"/>
      </w:rPr>
      <w:instrText xml:space="preserve"> PAGE </w:instrText>
    </w:r>
    <w:r w:rsidRPr="00B333CC">
      <w:rPr>
        <w:rFonts w:ascii="Segoe" w:hAnsi="Segoe"/>
        <w:sz w:val="18"/>
        <w:szCs w:val="18"/>
      </w:rPr>
      <w:fldChar w:fldCharType="separate"/>
    </w:r>
    <w:r>
      <w:rPr>
        <w:rFonts w:ascii="Segoe" w:hAnsi="Segoe"/>
        <w:sz w:val="18"/>
        <w:szCs w:val="18"/>
      </w:rPr>
      <w:t>2</w:t>
    </w:r>
    <w:r w:rsidRPr="00B333CC">
      <w:rPr>
        <w:rFonts w:ascii="Segoe" w:hAnsi="Segoe"/>
        <w:sz w:val="18"/>
        <w:szCs w:val="18"/>
      </w:rPr>
      <w:fldChar w:fldCharType="end"/>
    </w:r>
    <w:r w:rsidRPr="00B333CC">
      <w:rPr>
        <w:rFonts w:ascii="Segoe" w:hAnsi="Segoe"/>
        <w:sz w:val="18"/>
        <w:szCs w:val="18"/>
      </w:rPr>
      <w:t xml:space="preserve"> sur </w:t>
    </w:r>
    <w:r w:rsidRPr="00B333CC">
      <w:rPr>
        <w:rFonts w:ascii="Segoe" w:hAnsi="Segoe"/>
        <w:sz w:val="18"/>
        <w:szCs w:val="18"/>
      </w:rPr>
      <w:fldChar w:fldCharType="begin"/>
    </w:r>
    <w:r w:rsidRPr="00B333CC">
      <w:rPr>
        <w:rFonts w:ascii="Segoe" w:hAnsi="Segoe"/>
        <w:sz w:val="18"/>
        <w:szCs w:val="18"/>
      </w:rPr>
      <w:instrText xml:space="preserve"> NUMPAGES </w:instrText>
    </w:r>
    <w:r w:rsidRPr="00B333CC">
      <w:rPr>
        <w:rFonts w:ascii="Segoe" w:hAnsi="Segoe"/>
        <w:sz w:val="18"/>
        <w:szCs w:val="18"/>
      </w:rPr>
      <w:fldChar w:fldCharType="separate"/>
    </w:r>
    <w:r>
      <w:rPr>
        <w:rFonts w:ascii="Segoe" w:hAnsi="Segoe"/>
        <w:sz w:val="18"/>
        <w:szCs w:val="18"/>
      </w:rPr>
      <w:t>3</w:t>
    </w:r>
    <w:r w:rsidRPr="00B333CC">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280E" w14:textId="77777777" w:rsidR="005C6003" w:rsidRDefault="005C6003">
      <w:r>
        <w:separator/>
      </w:r>
    </w:p>
  </w:footnote>
  <w:footnote w:type="continuationSeparator" w:id="0">
    <w:p w14:paraId="30A5BF83" w14:textId="77777777" w:rsidR="005C6003" w:rsidRDefault="005C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E1A7" w14:textId="6FF44E2F" w:rsidR="00431CD7" w:rsidRDefault="00417C85" w:rsidP="00417C85">
    <w:pPr>
      <w:pStyle w:val="En-tte"/>
      <w:ind w:firstLine="630"/>
    </w:pPr>
    <w:r w:rsidRPr="00104FA9">
      <w:rPr>
        <w:noProof/>
      </w:rPr>
      <w:drawing>
        <wp:inline distT="0" distB="0" distL="0" distR="0" wp14:anchorId="0A6843D5" wp14:editId="5CFF0570">
          <wp:extent cx="1363092" cy="815340"/>
          <wp:effectExtent l="0" t="0" r="0" b="0"/>
          <wp:docPr id="3"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29E"/>
    <w:multiLevelType w:val="hybridMultilevel"/>
    <w:tmpl w:val="6E02A5B0"/>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 w15:restartNumberingAfterBreak="0">
    <w:nsid w:val="293337FC"/>
    <w:multiLevelType w:val="hybridMultilevel"/>
    <w:tmpl w:val="E2C08CA0"/>
    <w:lvl w:ilvl="0" w:tplc="0C0C0001">
      <w:start w:val="1"/>
      <w:numFmt w:val="bullet"/>
      <w:lvlText w:val=""/>
      <w:lvlJc w:val="left"/>
      <w:pPr>
        <w:ind w:left="2430" w:hanging="360"/>
      </w:pPr>
      <w:rPr>
        <w:rFonts w:ascii="Symbol" w:hAnsi="Symbol" w:hint="default"/>
      </w:rPr>
    </w:lvl>
    <w:lvl w:ilvl="1" w:tplc="0C0C0003" w:tentative="1">
      <w:start w:val="1"/>
      <w:numFmt w:val="bullet"/>
      <w:lvlText w:val="o"/>
      <w:lvlJc w:val="left"/>
      <w:pPr>
        <w:ind w:left="3150" w:hanging="360"/>
      </w:pPr>
      <w:rPr>
        <w:rFonts w:ascii="Courier New" w:hAnsi="Courier New" w:cs="Courier New" w:hint="default"/>
      </w:rPr>
    </w:lvl>
    <w:lvl w:ilvl="2" w:tplc="0C0C0005" w:tentative="1">
      <w:start w:val="1"/>
      <w:numFmt w:val="bullet"/>
      <w:lvlText w:val=""/>
      <w:lvlJc w:val="left"/>
      <w:pPr>
        <w:ind w:left="3870" w:hanging="360"/>
      </w:pPr>
      <w:rPr>
        <w:rFonts w:ascii="Wingdings" w:hAnsi="Wingdings" w:hint="default"/>
      </w:rPr>
    </w:lvl>
    <w:lvl w:ilvl="3" w:tplc="0C0C0001" w:tentative="1">
      <w:start w:val="1"/>
      <w:numFmt w:val="bullet"/>
      <w:lvlText w:val=""/>
      <w:lvlJc w:val="left"/>
      <w:pPr>
        <w:ind w:left="4590" w:hanging="360"/>
      </w:pPr>
      <w:rPr>
        <w:rFonts w:ascii="Symbol" w:hAnsi="Symbol" w:hint="default"/>
      </w:rPr>
    </w:lvl>
    <w:lvl w:ilvl="4" w:tplc="0C0C0003" w:tentative="1">
      <w:start w:val="1"/>
      <w:numFmt w:val="bullet"/>
      <w:lvlText w:val="o"/>
      <w:lvlJc w:val="left"/>
      <w:pPr>
        <w:ind w:left="5310" w:hanging="360"/>
      </w:pPr>
      <w:rPr>
        <w:rFonts w:ascii="Courier New" w:hAnsi="Courier New" w:cs="Courier New" w:hint="default"/>
      </w:rPr>
    </w:lvl>
    <w:lvl w:ilvl="5" w:tplc="0C0C0005" w:tentative="1">
      <w:start w:val="1"/>
      <w:numFmt w:val="bullet"/>
      <w:lvlText w:val=""/>
      <w:lvlJc w:val="left"/>
      <w:pPr>
        <w:ind w:left="6030" w:hanging="360"/>
      </w:pPr>
      <w:rPr>
        <w:rFonts w:ascii="Wingdings" w:hAnsi="Wingdings" w:hint="default"/>
      </w:rPr>
    </w:lvl>
    <w:lvl w:ilvl="6" w:tplc="0C0C0001" w:tentative="1">
      <w:start w:val="1"/>
      <w:numFmt w:val="bullet"/>
      <w:lvlText w:val=""/>
      <w:lvlJc w:val="left"/>
      <w:pPr>
        <w:ind w:left="6750" w:hanging="360"/>
      </w:pPr>
      <w:rPr>
        <w:rFonts w:ascii="Symbol" w:hAnsi="Symbol" w:hint="default"/>
      </w:rPr>
    </w:lvl>
    <w:lvl w:ilvl="7" w:tplc="0C0C0003" w:tentative="1">
      <w:start w:val="1"/>
      <w:numFmt w:val="bullet"/>
      <w:lvlText w:val="o"/>
      <w:lvlJc w:val="left"/>
      <w:pPr>
        <w:ind w:left="7470" w:hanging="360"/>
      </w:pPr>
      <w:rPr>
        <w:rFonts w:ascii="Courier New" w:hAnsi="Courier New" w:cs="Courier New" w:hint="default"/>
      </w:rPr>
    </w:lvl>
    <w:lvl w:ilvl="8" w:tplc="0C0C0005" w:tentative="1">
      <w:start w:val="1"/>
      <w:numFmt w:val="bullet"/>
      <w:lvlText w:val=""/>
      <w:lvlJc w:val="left"/>
      <w:pPr>
        <w:ind w:left="8190" w:hanging="360"/>
      </w:pPr>
      <w:rPr>
        <w:rFonts w:ascii="Wingdings" w:hAnsi="Wingdings" w:hint="default"/>
      </w:rPr>
    </w:lvl>
  </w:abstractNum>
  <w:abstractNum w:abstractNumId="2" w15:restartNumberingAfterBreak="0">
    <w:nsid w:val="78424098"/>
    <w:multiLevelType w:val="multilevel"/>
    <w:tmpl w:val="A2BECA4C"/>
    <w:lvl w:ilvl="0">
      <w:start w:val="1"/>
      <w:numFmt w:val="decimal"/>
      <w:pStyle w:val="Sous-titre"/>
      <w:lvlText w:val="%1."/>
      <w:lvlJc w:val="left"/>
      <w:pPr>
        <w:ind w:left="360" w:hanging="360"/>
      </w:pPr>
      <w:rPr>
        <w:b/>
      </w:rPr>
    </w:lvl>
    <w:lvl w:ilvl="1">
      <w:start w:val="1"/>
      <w:numFmt w:val="decimal"/>
      <w:pStyle w:val="Listeniveau2"/>
      <w:lvlText w:val="%1.%2."/>
      <w:lvlJc w:val="left"/>
      <w:pPr>
        <w:ind w:left="792" w:hanging="432"/>
      </w:pPr>
    </w:lvl>
    <w:lvl w:ilvl="2">
      <w:start w:val="1"/>
      <w:numFmt w:val="decimal"/>
      <w:pStyle w:val="List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87"/>
    <w:rsid w:val="00026CF5"/>
    <w:rsid w:val="0004754C"/>
    <w:rsid w:val="0005234D"/>
    <w:rsid w:val="000701E4"/>
    <w:rsid w:val="000B6BA1"/>
    <w:rsid w:val="000C7D70"/>
    <w:rsid w:val="0010241E"/>
    <w:rsid w:val="001117E0"/>
    <w:rsid w:val="0012619C"/>
    <w:rsid w:val="00140ABF"/>
    <w:rsid w:val="00151E89"/>
    <w:rsid w:val="00181FE9"/>
    <w:rsid w:val="0018698B"/>
    <w:rsid w:val="001A4663"/>
    <w:rsid w:val="001B45B0"/>
    <w:rsid w:val="001D067B"/>
    <w:rsid w:val="001D06A3"/>
    <w:rsid w:val="001E598E"/>
    <w:rsid w:val="00251FDD"/>
    <w:rsid w:val="00281D9E"/>
    <w:rsid w:val="002A03FA"/>
    <w:rsid w:val="002A3E6F"/>
    <w:rsid w:val="002D03B3"/>
    <w:rsid w:val="002E60A5"/>
    <w:rsid w:val="003146DE"/>
    <w:rsid w:val="00322EC2"/>
    <w:rsid w:val="00340365"/>
    <w:rsid w:val="003A4D5F"/>
    <w:rsid w:val="003B40AF"/>
    <w:rsid w:val="003B6087"/>
    <w:rsid w:val="003C591C"/>
    <w:rsid w:val="003F3A2A"/>
    <w:rsid w:val="00414A8C"/>
    <w:rsid w:val="00417C85"/>
    <w:rsid w:val="00423503"/>
    <w:rsid w:val="004308E7"/>
    <w:rsid w:val="00431CD7"/>
    <w:rsid w:val="0043245D"/>
    <w:rsid w:val="004377E8"/>
    <w:rsid w:val="00446C26"/>
    <w:rsid w:val="00454529"/>
    <w:rsid w:val="00454764"/>
    <w:rsid w:val="00473374"/>
    <w:rsid w:val="004854FA"/>
    <w:rsid w:val="00486280"/>
    <w:rsid w:val="004901D0"/>
    <w:rsid w:val="004B2C27"/>
    <w:rsid w:val="004E206E"/>
    <w:rsid w:val="00517E93"/>
    <w:rsid w:val="00524549"/>
    <w:rsid w:val="005541CA"/>
    <w:rsid w:val="00556DFF"/>
    <w:rsid w:val="005C6003"/>
    <w:rsid w:val="005E2C4D"/>
    <w:rsid w:val="00621CB4"/>
    <w:rsid w:val="00623E19"/>
    <w:rsid w:val="00666957"/>
    <w:rsid w:val="0066716C"/>
    <w:rsid w:val="00683F1B"/>
    <w:rsid w:val="0068692E"/>
    <w:rsid w:val="0069336B"/>
    <w:rsid w:val="00695EF7"/>
    <w:rsid w:val="006A776B"/>
    <w:rsid w:val="006E3D6E"/>
    <w:rsid w:val="0072663B"/>
    <w:rsid w:val="007A677F"/>
    <w:rsid w:val="007B1DE4"/>
    <w:rsid w:val="00814E33"/>
    <w:rsid w:val="00847CDA"/>
    <w:rsid w:val="00862FCE"/>
    <w:rsid w:val="008777AD"/>
    <w:rsid w:val="008910B7"/>
    <w:rsid w:val="008C0ED1"/>
    <w:rsid w:val="008C5F49"/>
    <w:rsid w:val="008F3E49"/>
    <w:rsid w:val="009127E0"/>
    <w:rsid w:val="00916BC1"/>
    <w:rsid w:val="0095380A"/>
    <w:rsid w:val="0095513F"/>
    <w:rsid w:val="00983603"/>
    <w:rsid w:val="00994D48"/>
    <w:rsid w:val="00996CDD"/>
    <w:rsid w:val="00996F81"/>
    <w:rsid w:val="009A3E33"/>
    <w:rsid w:val="009C5A91"/>
    <w:rsid w:val="00A3294F"/>
    <w:rsid w:val="00A36660"/>
    <w:rsid w:val="00A60C2B"/>
    <w:rsid w:val="00A66689"/>
    <w:rsid w:val="00A719A1"/>
    <w:rsid w:val="00A8522D"/>
    <w:rsid w:val="00AC055B"/>
    <w:rsid w:val="00AF71DB"/>
    <w:rsid w:val="00B277F4"/>
    <w:rsid w:val="00B333CC"/>
    <w:rsid w:val="00BB0689"/>
    <w:rsid w:val="00C1287C"/>
    <w:rsid w:val="00C32EAC"/>
    <w:rsid w:val="00C4737C"/>
    <w:rsid w:val="00C737AF"/>
    <w:rsid w:val="00C836C6"/>
    <w:rsid w:val="00CA6B5F"/>
    <w:rsid w:val="00CC0747"/>
    <w:rsid w:val="00CC2E7B"/>
    <w:rsid w:val="00CD07DC"/>
    <w:rsid w:val="00CE6B12"/>
    <w:rsid w:val="00CF5F5C"/>
    <w:rsid w:val="00D01ACA"/>
    <w:rsid w:val="00D133F8"/>
    <w:rsid w:val="00D72DCB"/>
    <w:rsid w:val="00D838B7"/>
    <w:rsid w:val="00D8741E"/>
    <w:rsid w:val="00D926AB"/>
    <w:rsid w:val="00DC1C29"/>
    <w:rsid w:val="00E12D16"/>
    <w:rsid w:val="00E2227E"/>
    <w:rsid w:val="00E228BB"/>
    <w:rsid w:val="00E3033C"/>
    <w:rsid w:val="00E60E05"/>
    <w:rsid w:val="00E74DAD"/>
    <w:rsid w:val="00E77D52"/>
    <w:rsid w:val="00EE48CE"/>
    <w:rsid w:val="00F05F62"/>
    <w:rsid w:val="00F15A61"/>
    <w:rsid w:val="00F61C09"/>
    <w:rsid w:val="00FD0C64"/>
    <w:rsid w:val="00FD3946"/>
    <w:rsid w:val="00FE7234"/>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8D10A8"/>
  <w15:chartTrackingRefBased/>
  <w15:docId w15:val="{3C3E8F55-225F-424E-BB76-037960F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autoRedefine/>
    <w:qFormat/>
    <w:rsid w:val="00417C85"/>
    <w:pPr>
      <w:spacing w:before="240" w:after="240"/>
      <w:ind w:left="720" w:right="720" w:firstLine="720"/>
      <w:jc w:val="center"/>
      <w:outlineLvl w:val="0"/>
    </w:pPr>
    <w:rPr>
      <w:rFonts w:ascii="Segoe Pro" w:hAnsi="Segoe Pro"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character" w:styleId="Mentionnonrsolue">
    <w:name w:val="Unresolved Mention"/>
    <w:uiPriority w:val="99"/>
    <w:semiHidden/>
    <w:unhideWhenUsed/>
    <w:rsid w:val="00414A8C"/>
    <w:rPr>
      <w:color w:val="605E5C"/>
      <w:shd w:val="clear" w:color="auto" w:fill="E1DFDD"/>
    </w:rPr>
  </w:style>
  <w:style w:type="character" w:customStyle="1" w:styleId="En-tteCar">
    <w:name w:val="En-tête Car"/>
    <w:link w:val="En-tte"/>
    <w:uiPriority w:val="99"/>
    <w:rsid w:val="00994D48"/>
    <w:rPr>
      <w:sz w:val="24"/>
      <w:szCs w:val="24"/>
      <w:lang w:eastAsia="en-US"/>
    </w:rPr>
  </w:style>
  <w:style w:type="character" w:customStyle="1" w:styleId="Titre1Car">
    <w:name w:val="Titre 1 Car"/>
    <w:basedOn w:val="Policepardfaut"/>
    <w:link w:val="Titre1"/>
    <w:rsid w:val="00417C85"/>
    <w:rPr>
      <w:rFonts w:ascii="Segoe Pro" w:hAnsi="Segoe Pro" w:cs="Arial"/>
      <w:b/>
      <w:caps/>
      <w:sz w:val="24"/>
      <w:szCs w:val="24"/>
      <w:lang w:eastAsia="en-US"/>
    </w:rPr>
  </w:style>
  <w:style w:type="paragraph" w:styleId="Sous-titre">
    <w:name w:val="Subtitle"/>
    <w:basedOn w:val="Normal"/>
    <w:next w:val="Normal"/>
    <w:link w:val="Sous-titreCar"/>
    <w:autoRedefine/>
    <w:qFormat/>
    <w:rsid w:val="00417C85"/>
    <w:pPr>
      <w:numPr>
        <w:numId w:val="1"/>
      </w:numPr>
      <w:tabs>
        <w:tab w:val="left" w:pos="1080"/>
      </w:tabs>
      <w:spacing w:before="240" w:after="240"/>
      <w:ind w:left="1080" w:right="720"/>
      <w:outlineLvl w:val="1"/>
    </w:pPr>
    <w:rPr>
      <w:rFonts w:ascii="Segoe Pro" w:hAnsi="Segoe Pro" w:cs="Arial"/>
      <w:b/>
      <w:caps/>
      <w:sz w:val="22"/>
      <w:szCs w:val="20"/>
    </w:rPr>
  </w:style>
  <w:style w:type="character" w:customStyle="1" w:styleId="Sous-titreCar">
    <w:name w:val="Sous-titre Car"/>
    <w:basedOn w:val="Policepardfaut"/>
    <w:link w:val="Sous-titre"/>
    <w:rsid w:val="00417C85"/>
    <w:rPr>
      <w:rFonts w:ascii="Segoe Pro" w:hAnsi="Segoe Pro" w:cs="Arial"/>
      <w:b/>
      <w:caps/>
      <w:sz w:val="22"/>
      <w:lang w:eastAsia="en-US"/>
    </w:rPr>
  </w:style>
  <w:style w:type="paragraph" w:customStyle="1" w:styleId="Listeniveau2">
    <w:name w:val="Liste à niveau 2"/>
    <w:basedOn w:val="Normal"/>
    <w:link w:val="Listeniveau2Car"/>
    <w:autoRedefine/>
    <w:qFormat/>
    <w:rsid w:val="00417C85"/>
    <w:pPr>
      <w:numPr>
        <w:ilvl w:val="1"/>
        <w:numId w:val="1"/>
      </w:numPr>
      <w:tabs>
        <w:tab w:val="left" w:pos="1620"/>
      </w:tabs>
      <w:spacing w:before="240" w:after="240"/>
      <w:ind w:left="1627" w:right="720" w:hanging="547"/>
    </w:pPr>
    <w:rPr>
      <w:rFonts w:ascii="Segoe Pro" w:hAnsi="Segoe Pro" w:cs="Arial"/>
      <w:sz w:val="22"/>
      <w:szCs w:val="20"/>
    </w:rPr>
  </w:style>
  <w:style w:type="paragraph" w:customStyle="1" w:styleId="Listeniveau3">
    <w:name w:val="Liste à niveau 3"/>
    <w:basedOn w:val="Normal"/>
    <w:link w:val="Listeniveau3Car"/>
    <w:autoRedefine/>
    <w:qFormat/>
    <w:rsid w:val="00417C85"/>
    <w:pPr>
      <w:numPr>
        <w:ilvl w:val="2"/>
        <w:numId w:val="1"/>
      </w:numPr>
      <w:tabs>
        <w:tab w:val="left" w:pos="1620"/>
        <w:tab w:val="left" w:pos="2340"/>
      </w:tabs>
      <w:spacing w:before="240" w:after="240"/>
      <w:ind w:left="2347" w:right="720" w:hanging="720"/>
    </w:pPr>
    <w:rPr>
      <w:rFonts w:ascii="Segoe Pro" w:hAnsi="Segoe Pro" w:cs="Arial"/>
      <w:sz w:val="22"/>
      <w:szCs w:val="20"/>
    </w:rPr>
  </w:style>
  <w:style w:type="character" w:customStyle="1" w:styleId="Listeniveau2Car">
    <w:name w:val="Liste à niveau 2 Car"/>
    <w:basedOn w:val="Policepardfaut"/>
    <w:link w:val="Listeniveau2"/>
    <w:rsid w:val="00417C85"/>
    <w:rPr>
      <w:rFonts w:ascii="Segoe Pro" w:hAnsi="Segoe Pro" w:cs="Arial"/>
      <w:sz w:val="22"/>
      <w:lang w:eastAsia="en-US"/>
    </w:rPr>
  </w:style>
  <w:style w:type="character" w:customStyle="1" w:styleId="Listeniveau3Car">
    <w:name w:val="Liste à niveau 3 Car"/>
    <w:basedOn w:val="Policepardfaut"/>
    <w:link w:val="Listeniveau3"/>
    <w:rsid w:val="00417C85"/>
    <w:rPr>
      <w:rFonts w:ascii="Segoe Pro" w:hAnsi="Segoe Pro"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nouvelon.ca/doc/DA/ELV03_26_0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fre/parents/feesGuideline.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ocs.nouvelon.ca/doc/DA/ADM03_11.pdf" TargetMode="External"/><Relationship Id="rId4" Type="http://schemas.openxmlformats.org/officeDocument/2006/relationships/settings" Target="settings.xml"/><Relationship Id="rId9" Type="http://schemas.openxmlformats.org/officeDocument/2006/relationships/hyperlink" Target="https://docs.nouvelon.ca/doc/DA/ELV03_26_0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C9CC-6C96-4F2C-ADE0-E537E17A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Frais liés au matériel et aux activités d'apprentissage</vt:lpstr>
    </vt:vector>
  </TitlesOfParts>
  <Company>Home</Company>
  <LinksUpToDate>false</LinksUpToDate>
  <CharactersWithSpaces>5892</CharactersWithSpaces>
  <SharedDoc>false</SharedDoc>
  <HLinks>
    <vt:vector size="18" baseType="variant">
      <vt:variant>
        <vt:i4>3211332</vt:i4>
      </vt:variant>
      <vt:variant>
        <vt:i4>6</vt:i4>
      </vt:variant>
      <vt:variant>
        <vt:i4>0</vt:i4>
      </vt:variant>
      <vt:variant>
        <vt:i4>5</vt:i4>
      </vt:variant>
      <vt:variant>
        <vt:lpwstr>http://docs.nouvelon.ca/doc/DA/ADM03_08.pdf</vt:lpwstr>
      </vt:variant>
      <vt:variant>
        <vt:lpwstr/>
      </vt:variant>
      <vt:variant>
        <vt:i4>1900616</vt:i4>
      </vt:variant>
      <vt:variant>
        <vt:i4>3</vt:i4>
      </vt:variant>
      <vt:variant>
        <vt:i4>0</vt:i4>
      </vt:variant>
      <vt:variant>
        <vt:i4>5</vt:i4>
      </vt:variant>
      <vt:variant>
        <vt:lpwstr>http://docs.nouvelon.ca/doc/DA/ELV03_26_02.pdf</vt:lpwstr>
      </vt:variant>
      <vt:variant>
        <vt:lpwstr/>
      </vt:variant>
      <vt:variant>
        <vt:i4>1966152</vt:i4>
      </vt:variant>
      <vt:variant>
        <vt:i4>0</vt:i4>
      </vt:variant>
      <vt:variant>
        <vt:i4>0</vt:i4>
      </vt:variant>
      <vt:variant>
        <vt:i4>5</vt:i4>
      </vt:variant>
      <vt:variant>
        <vt:lpwstr>http://docs.nouvelon.ca/doc/DA/ELV03_26_01.pdf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Frais liés au matériel et aux activités d'apprentissage</dc:title>
  <dc:subject>Directive administrative des frais liés à matériel et aux activités d'apprentissage</dc:subject>
  <dc:creator>Conseil scolaire catholique Nouvelon</dc:creator>
  <cp:keywords/>
  <dc:description>Année 3 du Cycle
CF-DA Étape 3 - 30 septembre 2019 - approuvée statu quo</dc:description>
  <cp:lastModifiedBy>Michelle Viau</cp:lastModifiedBy>
  <cp:revision>2</cp:revision>
  <cp:lastPrinted>2014-05-29T14:50:00Z</cp:lastPrinted>
  <dcterms:created xsi:type="dcterms:W3CDTF">2021-07-21T13:06:00Z</dcterms:created>
  <dcterms:modified xsi:type="dcterms:W3CDTF">2021-07-21T13:06:00Z</dcterms:modified>
</cp:coreProperties>
</file>